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FF0000"/>
          <w:kern w:val="0"/>
          <w:sz w:val="32"/>
          <w:szCs w:val="32"/>
        </w:rPr>
        <w:t>四川师范大学、西南科技大学</w:t>
      </w:r>
      <w:r>
        <w:rPr>
          <w:rFonts w:hint="eastAsia" w:ascii="宋体" w:hAnsi="宋体" w:cs="宋体"/>
          <w:b/>
          <w:color w:val="FF0000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32"/>
          <w:szCs w:val="32"/>
        </w:rPr>
        <w:t>成都信息工程大学</w:t>
      </w:r>
    </w:p>
    <w:p>
      <w:pPr>
        <w:jc w:val="center"/>
        <w:rPr>
          <w:rFonts w:ascii="黑体" w:hAnsi="宋体" w:eastAsia="黑体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FF0000"/>
          <w:kern w:val="0"/>
          <w:sz w:val="32"/>
          <w:szCs w:val="32"/>
        </w:rPr>
        <w:t>应用型高等教育自考本科专业课程设置一览表</w:t>
      </w:r>
    </w:p>
    <w:p>
      <w:pPr>
        <w:jc w:val="center"/>
        <w:rPr>
          <w:rFonts w:ascii="黑体" w:hAnsi="宋体" w:eastAsia="黑体" w:cs="宋体"/>
          <w:b/>
          <w:bCs/>
          <w:color w:val="FF0000"/>
          <w:kern w:val="0"/>
          <w:sz w:val="36"/>
          <w:szCs w:val="36"/>
        </w:rPr>
      </w:pPr>
    </w:p>
    <w:p>
      <w:pPr>
        <w:rPr>
          <w:rFonts w:hint="eastAsia" w:ascii="ˎ̥" w:hAnsi="ˎ̥" w:cs="宋体"/>
          <w:b/>
          <w:color w:val="FF0000"/>
          <w:kern w:val="0"/>
          <w:sz w:val="24"/>
        </w:rPr>
      </w:pPr>
      <w:r>
        <w:rPr>
          <w:rFonts w:ascii="ˎ̥" w:hAnsi="ˎ̥" w:cs="宋体"/>
          <w:b/>
          <w:color w:val="FF0000"/>
          <w:kern w:val="0"/>
          <w:sz w:val="24"/>
        </w:rPr>
        <w:t>学制</w:t>
      </w:r>
      <w:r>
        <w:rPr>
          <w:rFonts w:hint="eastAsia" w:ascii="ˎ̥" w:hAnsi="ˎ̥" w:cs="宋体"/>
          <w:b/>
          <w:color w:val="FF0000"/>
          <w:kern w:val="0"/>
          <w:sz w:val="24"/>
        </w:rPr>
        <w:t>、各专业考试课程</w:t>
      </w:r>
    </w:p>
    <w:tbl>
      <w:tblPr>
        <w:tblStyle w:val="4"/>
        <w:tblW w:w="967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427"/>
        <w:gridCol w:w="2400"/>
        <w:gridCol w:w="2532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9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9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学制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9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统  考  课  程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9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省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考  课  程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9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替</w:t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考  课 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英语(二)、教育学（二）、中小学教育管理、心理卫生与心理辅导、课程与教学论、教育心理学、计算机应用基础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中国近代史纲要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马克思基本原理基本概论、小学语文教学研究、教学技能与教学艺术、现代教育测量与评价学、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中外教育简史、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免英语（二）替考课程：教育行政学 、学校管理学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、比较教育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9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英语(二)、学前教育原理、学前教育史、学前教育科学研究与论文写作、学前教育心理学、学前游戏论、计算机应用基础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中国近代史纲要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马克思主义基本原理概论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学前比较教育、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学前儿童家庭教育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、课程与教学论、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学前特殊儿童教育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、学前儿童心理卫生与辅导、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免英语（二）替考课程：普通逻辑、美育基础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、儿童文学名著导读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9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酒店管理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英语（二）、旅游管理信息系统、旅游市场营销、酒店客房管理、现代酒店礼貌礼仪、现代酒店礼貌礼仪（实践）、经济学原理、旅游文化学、旅游人力资源管理、酒店管理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中国近代史纲要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马克思主义基本原理概论、管理学原理、酒店财务管理、酒店英语（口试）、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免英语（二）替考课程：社会学概论、中国文化概论、饮食心理学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9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市场营销学、组织行为学、旅游与饭店会计、旅游资源规划与开发、旅游企业投资与管理、中外民俗、客源国概况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中国近代史纲要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/>
                <w:sz w:val="18"/>
                <w:szCs w:val="18"/>
              </w:rPr>
              <w:t>马克思主义基本原理概论、专业英语、饭店前厅与客房管理、网络经济与企业管理、旅游文化学、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9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机电设备与管理（机电设备与管理方向）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Times New Roman" w:hAnsi="Times New Roman" w:eastAsia="方正书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书宋简体"/>
                <w:kern w:val="0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ascii="Times New Roman" w:hAnsi="Times New Roman" w:eastAsia="方正书宋简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方正书宋简体"/>
                <w:kern w:val="0"/>
                <w:sz w:val="18"/>
                <w:szCs w:val="18"/>
              </w:rPr>
              <w:t>英语（二）、信息管理基础、经济管理、机电设备管理、机械工程材料、设备可靠性工程、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机械设计工程学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中国近现代史纲要、马克思主义基本原理概论、人机工程学（二）、现代企业管理（一）、生产管理、电气传动与可编程控制器（PLC）、电气传动与可编程控制器（PLC）（实践）、机械制造工程学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ind w:firstLine="360" w:firstLineChars="200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免英语（二）替代课程：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工程经济、物流企业管理、管理信息系统、管理信息系统（实践）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jc w:val="center"/>
              <w:rPr>
                <w:rFonts w:ascii="宋体" w:hAnsi="宋体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jc w:val="left"/>
              <w:rPr>
                <w:rFonts w:ascii="宋体" w:hAnsi="宋体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英语（二）、财务管理学、建筑施工技术、工程监理、工程项目管理、工程招标与合同管理、工程造价确定与控制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jc w:val="left"/>
              <w:rPr>
                <w:rFonts w:ascii="宋体" w:hAnsi="宋体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中国近现代史纲要、马克思主义基本原理概论、概率论与数理统计、线性代数、房地产开发与经营、工程经济学与项目融资、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ind w:firstLine="360"/>
              <w:jc w:val="left"/>
              <w:rPr>
                <w:rFonts w:ascii="宋体" w:hAnsi="宋体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免英语（二）替代课程：企业管理概论、中国文化概论、土木工程概论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汽车维修与检测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jc w:val="center"/>
              <w:rPr>
                <w:rFonts w:ascii="宋体" w:hAnsi="宋体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英语（二）、机械测试技术、机械测试技术(实践）、工程力学（一）、汽车构造、发动机原理、汽车电子控制技术、汽车维修技术、汽车维修技术（实践）、汽车运用工程、汽车安全检测技术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中国近现代史纲要、马克思主义基本原理概论、高等数学（工本）、机械制图（一）、汽车评估、汽车机械基础、汽车服务企业管理、汽车故障分析、汽车故障分析、汽车综合实验、汽车保修实习、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ind w:firstLine="360"/>
              <w:jc w:val="lef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jc w:val="center"/>
              <w:rPr>
                <w:rFonts w:ascii="宋体" w:hAnsi="宋体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英语（二）、室内设计、广告设计与创意、设计美学、现代设计史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中国近现代史纲要、马克思主义基本原理概论、设计色彩、展示设计、CI策划、产品包装设计（实践）、设计表现技法、POP与DM广告设计、设计素描、计算机辅助设计、书法篆刻、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50" w:line="300" w:lineRule="exact"/>
              <w:ind w:firstLine="360"/>
              <w:jc w:val="lef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免英语（二）替代课程：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摄影基础、图形设计、文字创意设计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建筑经济管理</w:t>
            </w: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英语（二）、工程建设监理概论、经济管理、建筑经济与企业管理、工程质量与进度控制、建筑工程技术经济学、建筑工程项目管理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中国近现代史纲要、马克思主义基本原理概论、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经济法概论、概率论与数理统计（二）、计算机基础与程序设计、运筹学与系统分析、计算机辅助管理、建筑施工技术、毕业论文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免英语（二）替代课程：基础会计学、建筑工程定额与预算、建筑材料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机械制造及自动化</w:t>
            </w: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英语（二）、经济管理、电气传动与可编程控制器（PLC）、机械制造装备设计、自动化制造系统、精密加工与特种加工、液压与气压传动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中国近现代史纲要、马克思主义基本原理概论、概率论与数理统计（二）、现代设计方法、单片机与接口技术、现代控制技术基础、计算机技术基础、毕业论文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免英语（二）替代课程：机械原理与机械设计、冷冲压工艺与模具设计、公差配合与测量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数字媒体艺术</w:t>
            </w: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英语（二）、视听语言、形态构成、数字摄影技术、电脑动画、数字影视合成、动态网站建设编程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中国近现代史纲要、马克思主义基本原理概论、影像与剪辑艺术、美术设计与创意、数字影像制作技术、电脑艺术设计、毕业论文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免英语（二）替代课程：数字音频制作与处理、计算机网络技术、Visual Basic程序设计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现代</w:t>
            </w: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商务</w:t>
            </w: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英语（二）、对外经济管理概论、国际市场营销学、市场营销策划、 国际商务谈判、电子商务概论、组织行为学（二）、商业伦理导论、国际商务管理学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中国近现代史纲要、马克思主义基本原理概论、管理系统中计算机应用、财务管理学、金融理论与实务、商品流通概论、毕业论文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免英语（二）替代课程：公共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系学、公司法、政府政策与经济学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投资</w:t>
            </w: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理财</w:t>
            </w:r>
          </w:p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风险管理、金融学概论、税收筹划、投资学原理、理财学、金融营销、房地产投资、金融理财分析技术与技巧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150" w:afterAutospacing="0" w:line="3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英语（二）、管理系统中计算机应用、中国近现代史纲要、马克思主义基本原理概论、概率论与数理统计、线性代数、毕业论文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免英语（二）替代课程：企业信用管理学、国际商务经济学概论、国际投资学</w:t>
            </w:r>
          </w:p>
        </w:tc>
      </w:tr>
    </w:tbl>
    <w:p>
      <w:pPr>
        <w:widowControl/>
        <w:spacing w:line="400" w:lineRule="exact"/>
        <w:jc w:val="left"/>
        <w:rPr>
          <w:rFonts w:ascii="宋体" w:hAnsi="宋体" w:cs="宋体"/>
          <w:color w:val="FF0000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</w:rPr>
        <w:t>备注:根据国家政策，如各专业课程设置变更，以国家考试计划为准。</w:t>
      </w:r>
    </w:p>
    <w:p>
      <w:pPr>
        <w:widowControl/>
        <w:spacing w:line="400" w:lineRule="exact"/>
        <w:ind w:left="630" w:hanging="630" w:hangingChars="300"/>
        <w:jc w:val="left"/>
        <w:rPr>
          <w:rFonts w:ascii="Times New Roman" w:hAnsi="Times New Roman"/>
          <w:b/>
          <w:color w:val="FF0000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 </w:t>
      </w:r>
    </w:p>
    <w:p>
      <w:pPr>
        <w:spacing w:line="500" w:lineRule="exact"/>
        <w:rPr>
          <w:rFonts w:ascii="仿宋" w:hAnsi="仿宋" w:eastAsia="仿宋" w:cs="仿宋"/>
          <w:w w:val="90"/>
          <w:szCs w:val="21"/>
        </w:rPr>
      </w:pPr>
    </w:p>
    <w:p>
      <w:pPr>
        <w:spacing w:line="500" w:lineRule="exact"/>
        <w:rPr>
          <w:rFonts w:ascii="仿宋" w:hAnsi="仿宋" w:eastAsia="仿宋" w:cs="仿宋"/>
          <w:w w:val="90"/>
          <w:szCs w:val="21"/>
        </w:rPr>
      </w:pPr>
    </w:p>
    <w:p/>
    <w:p>
      <w:bookmarkStart w:id="0" w:name="_GoBack"/>
      <w:bookmarkEnd w:id="0"/>
    </w:p>
    <w:sectPr>
      <w:pgSz w:w="11906" w:h="16838"/>
      <w:pgMar w:top="1701" w:right="1236" w:bottom="1701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C5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2017-09-12T01:34:49Z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