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spacing w:line="560" w:lineRule="exact"/>
        <w:jc w:val="left"/>
        <w:outlineLvl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p>
      <w:pPr>
        <w:pStyle w:val="2"/>
      </w:pPr>
    </w:p>
    <w:p>
      <w:pPr>
        <w:spacing w:line="600" w:lineRule="exact"/>
        <w:jc w:val="center"/>
        <w:outlineLvl w:val="0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眉山职业技术学院</w:t>
      </w:r>
      <w:bookmarkStart w:id="0" w:name="_GoBack"/>
      <w:bookmarkEnd w:id="0"/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2022－2024年职业教育人才培养和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教育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教学改革研究项目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选题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指南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《指南》为参考选题方向和范围，申报者应在深入贯彻落实全国、全省教育大会和《国家职业教育改革实施方案》和《四川省职业教育改革实施方案》精神，围绕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人才培养和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教育教学改革实践中的现实问题，服务经济社会发展，具体确定研究内容。对《指南》未涉及到的选题范围，申报者可根据需要自行选题。</w:t>
      </w:r>
    </w:p>
    <w:p>
      <w:pPr>
        <w:pStyle w:val="2"/>
        <w:rPr>
          <w:rFonts w:hint="eastAsia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color w:val="auto"/>
                <w:lang w:val="en-US" w:eastAsia="zh-CN" w:bidi="ar"/>
              </w:rPr>
              <w:t>“1”为项目类型编号，“1.1” 为项目小类编号。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1.职业教育发展综合改革研究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职业教育服务技能型社会建设研究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职业教育服务乡村振兴、成渝双城经济圈等国家发展战略研究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增强职业教育适应性背景下职业教育类型理论和实践研究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职业教育服务区域经济和产业发展研究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职教高考改革研究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四川职业教育发展高质量理论与实践研究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高质量职业培训理论与实践研究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职业技能大赛理论与实践研究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2.职业院校德育与思想政治工作研究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习近平新时代中国特色社会主义思想进课堂的实践研究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以党史为重点的“四史”学习教育融入课堂教育教学的实践研究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中国传统文化、社会主义核心价值观等融入教育教学相关实践研究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构建深度融合的三全育人机制的实践研究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职业院校推进思想政治工作一体化教育的研究和实践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分类推进职业院校课程思政建设的研究与实践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培养教师课程思政意识和育人能力的研究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职业院校学生思想状况调查研究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课程思政建设质量评价体系和激励机制的探索与研究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民办院校课程思政问题研究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3.现代职业教育体系研究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本科层次职业教育的定位、发展方式及路径研究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本科层次职业院校建设及专业试点实践路径研究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本科层次职业教育评价体系研究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高等职业教育高水平学校实践研究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中等职业教育优质学校实践研究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中高本贯通式人才培养体系改革研究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新发展阶段职普融通的内涵和路径研究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国家资历框架建设下的职业院校“学分银行”建设研究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巩固中职基础地位相关研究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职业教育育训并举格局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4.专业建设相关研究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专业建设服务产业发展的模式研究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职业院校专业设置同质化问题研究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专业转型升级与数字化改造研究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专业布局结构调整与区域经济社会发展匹配度研究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基于产业转型升级的专业动态调整机制建设研究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专业人才培养模式与育人实践研究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区域性（行业性）专业资源库建设研究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本科层次职业教育专业标准体系研制理论与方法研究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中高职贯通培养下一体化专业课程体系建设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职业院校专业认证、质量评价与动态调控机制研究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5.“三教改革”研究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职业院校实践技能教学改革研究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职业教育活页式、工作手册式新型教材建设研究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职业院校推进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课堂革命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职业院校教学诊断与改进相关研究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信息化背景下学与教变革的实践研究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基于核心素养培养的公共基础课教学改革研究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职业院校校企合作开发课程、教材的实践研究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职业教育实训教学质量监控体系研究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职业学校学生实习管理相关实践研究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虚拟仿真实训平台建设及效果研究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6.产教融合、校企合作研究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职业院校现代产业学院建设路径、办学模式、运行机制等研究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职业教育产教融合与校企合作治理制度创新研究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校企共建职业培训中心、生产性实训基地管理运营模式研究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产教融合型企业建设问题研究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职业教育集团（联盟）实体化运作模式与机制研究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推进产教融合示范项目建设相关实践研究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职业院校推进混合所有制办学实践研究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  “1+X”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证书制度试点和推广实施路径研究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岗课赛证综合育人模式研究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中国特色现代学徒制试点的实证研究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职业院校面向行业企业职工培训的实践研究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职业院校实训基地发挥社会培训服务功能的实践研究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校企合作开发职业培训包实践研究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终身学习公共服务平台、技术技能创新服务平台与模式研究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职业教育提升企业技术创新能力研究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7.师资队伍建设研究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加强师德师风建设的实践研究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新时代职业教育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双师型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教师队伍建设模式和路径研究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职业院校教师信息化教学能力提升研究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职业院校结构化教学创新团队建设研究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职业院校班主任（辅导员）专业素养提升与评价研究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职业院校教师多元评价模式研究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职业院校教师激励保障机制研究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职业学校名师成长规律及名师工作室建设实践研究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职业院校教师培训及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双师型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教师培养培训研究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校企人员双向流动相互兼职常态运行机制研究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7.11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兼职教师队伍建设与管理机制研究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职业院校教师心理健康问题研究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教师参加企业实践培训的案例研究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职业院校教师评聘及管理制度的改革研究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技能大师工作室、技艺技能传承创新平台建设研究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8.信息化建设研究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职业院校智慧校园建设现状与对策及相关建设模式研究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现代信息技术在教学和管理中的应用研究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 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+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新形态的探索与构建研究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虚拟现实技术在职业院校教育教学中的应用研究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数字经济背景下我国职业教育数字化转型的路径和机制研究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9.提升学校治理水平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职业院校治理体系和治理能力现代化研究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类型教育背景下高职院校数字治理现代化研究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职业院校内部治理结构与综合改革研究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信息化条件下职业院校现代化管理模式研究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职业学校教学管理机制创新的实践研究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10.创新创业研究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深化职业学校创新创业教育改革的体制机制研究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职业学校创新创业试点院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建设的探索与实践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创新创业教育课程、课堂、教材体系建设研究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教师深度参与创新创业教育的实现机制研究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学生实践能力培养、毕业实习、毕业设计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等各实践教学环节的建设与管理研究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学生竞赛活动组织管理模式的实践研究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职业院校学生创新精神和实践能力的评价体系建设研究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职业院校创新创业教育课程体系构建研究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创兴创业学院（基地）运行机制、“双创”人才培养成效等研究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10.10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新时代加强和改进职业学校体育、美育和劳动教育的实践研究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11.拓展国际交流与合作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职业教育国际合作路径与政策保障机制研究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+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11.3 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鲁班工坊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”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职业教育国际合作的实践研究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教学标准输出提升国际合作交流水平相关研究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国际标准引入本土化落地相关实践研究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12.其他研究</w:t>
            </w:r>
          </w:p>
        </w:tc>
      </w:tr>
    </w:tbl>
    <w:p>
      <w:pPr>
        <w:pStyle w:val="2"/>
        <w:spacing w:after="0" w:line="600" w:lineRule="exact"/>
        <w:ind w:firstLine="0" w:firstLineChars="0"/>
        <w:jc w:val="both"/>
        <w:rPr>
          <w:rFonts w:hint="eastAsia" w:eastAsia="仿宋"/>
          <w:color w:val="auto"/>
          <w:sz w:val="32"/>
          <w:szCs w:val="32"/>
          <w:lang w:val="en-US"/>
        </w:rPr>
      </w:pPr>
    </w:p>
    <w:p>
      <w:pPr>
        <w:rPr>
          <w:rFonts w:hint="eastAsia"/>
        </w:rPr>
      </w:pPr>
    </w:p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kwNzhiYjM2Y2YyNDE1YWEzZjA5NzY5MDRjMjMifQ=="/>
  </w:docVars>
  <w:rsids>
    <w:rsidRoot w:val="751E27E1"/>
    <w:rsid w:val="02D50F28"/>
    <w:rsid w:val="09860201"/>
    <w:rsid w:val="193F7BAD"/>
    <w:rsid w:val="36FF25F4"/>
    <w:rsid w:val="56F16FA9"/>
    <w:rsid w:val="5C840A6D"/>
    <w:rsid w:val="5C9A30FD"/>
    <w:rsid w:val="6AC76615"/>
    <w:rsid w:val="751E27E1"/>
    <w:rsid w:val="7E2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6">
    <w:name w:val="font51"/>
    <w:basedOn w:val="5"/>
    <w:qFormat/>
    <w:uiPriority w:val="0"/>
    <w:rPr>
      <w:rFonts w:ascii="方正楷体_GBK" w:hAnsi="方正楷体_GBK" w:eastAsia="方正楷体_GBK" w:cs="方正楷体_GBK"/>
      <w:b/>
      <w:bCs/>
      <w:color w:val="FF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2022-12-01T03:32:00Z</dcterms:created>
  <dc:creator>陈磊</dc:creator>
  <cp:lastModifiedBy>天空很晴朗</cp:lastModifiedBy>
  <dcterms:modified xsi:type="dcterms:W3CDTF">2022-12-19T11:21:35Z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192421844_btnclosed</vt:lpwstr>
  </property>
  <property fmtid="{D5CDD505-2E9C-101B-9397-08002B2CF9AE}" pid="4" name="ICV">
    <vt:lpwstr>6675BB4D0709492082460F3BC50F028D</vt:lpwstr>
  </property>
</Properties>
</file>