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t>附件二：</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736"/>
        <w:gridCol w:w="694"/>
        <w:gridCol w:w="4309"/>
        <w:gridCol w:w="709"/>
        <w:gridCol w:w="711"/>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shd w:val="clear" w:color="auto" w:fill="auto"/>
            <w:noWrap w:val="0"/>
            <w:vAlign w:val="center"/>
          </w:tcPr>
          <w:p>
            <w:pPr>
              <w:jc w:val="center"/>
              <w:rPr>
                <w:rFonts w:ascii="宋体" w:hAnsi="宋体" w:cs="宋体"/>
                <w:b/>
                <w:bCs/>
                <w:color w:val="000000"/>
                <w:szCs w:val="21"/>
              </w:rPr>
            </w:pPr>
            <w:bookmarkStart w:id="0" w:name="_Hlk148018201"/>
            <w:r>
              <w:rPr>
                <w:rFonts w:hint="eastAsia" w:ascii="宋体" w:hAnsi="宋体" w:cs="宋体"/>
                <w:b/>
                <w:bCs/>
                <w:color w:val="000000"/>
                <w:szCs w:val="21"/>
              </w:rPr>
              <w:t>序号</w:t>
            </w:r>
          </w:p>
        </w:tc>
        <w:tc>
          <w:tcPr>
            <w:tcW w:w="432" w:type="pct"/>
            <w:shd w:val="clear" w:color="auto" w:fill="auto"/>
            <w:noWrap w:val="0"/>
            <w:vAlign w:val="center"/>
          </w:tcPr>
          <w:p>
            <w:pPr>
              <w:jc w:val="center"/>
              <w:rPr>
                <w:rFonts w:ascii="宋体" w:hAnsi="宋体" w:cs="宋体"/>
                <w:b/>
                <w:bCs/>
                <w:color w:val="000000"/>
                <w:szCs w:val="21"/>
              </w:rPr>
            </w:pPr>
            <w:r>
              <w:rPr>
                <w:rFonts w:hint="eastAsia" w:ascii="宋体" w:hAnsi="宋体" w:cs="宋体"/>
                <w:b/>
                <w:bCs/>
                <w:color w:val="000000"/>
                <w:szCs w:val="21"/>
              </w:rPr>
              <w:t>应用软件名称</w:t>
            </w:r>
          </w:p>
        </w:tc>
        <w:tc>
          <w:tcPr>
            <w:tcW w:w="407" w:type="pct"/>
            <w:shd w:val="clear" w:color="auto" w:fill="auto"/>
            <w:noWrap w:val="0"/>
            <w:vAlign w:val="center"/>
          </w:tcPr>
          <w:p>
            <w:pPr>
              <w:jc w:val="center"/>
              <w:rPr>
                <w:rFonts w:ascii="宋体" w:hAnsi="宋体" w:cs="宋体"/>
                <w:b/>
                <w:bCs/>
                <w:color w:val="000000"/>
                <w:szCs w:val="21"/>
              </w:rPr>
            </w:pPr>
            <w:r>
              <w:rPr>
                <w:rFonts w:hint="eastAsia" w:ascii="宋体" w:hAnsi="宋体" w:cs="宋体"/>
                <w:b/>
                <w:bCs/>
                <w:color w:val="000000"/>
                <w:szCs w:val="21"/>
              </w:rPr>
              <w:t>模块名称</w:t>
            </w:r>
          </w:p>
        </w:tc>
        <w:tc>
          <w:tcPr>
            <w:tcW w:w="2528" w:type="pct"/>
            <w:shd w:val="clear" w:color="auto" w:fill="auto"/>
            <w:noWrap w:val="0"/>
            <w:vAlign w:val="center"/>
          </w:tcPr>
          <w:p>
            <w:pPr>
              <w:jc w:val="center"/>
              <w:rPr>
                <w:rFonts w:ascii="宋体" w:hAnsi="宋体" w:cs="宋体"/>
                <w:b/>
                <w:bCs/>
                <w:color w:val="000000"/>
                <w:szCs w:val="21"/>
              </w:rPr>
            </w:pPr>
            <w:r>
              <w:rPr>
                <w:rFonts w:hint="eastAsia" w:ascii="宋体" w:hAnsi="宋体" w:cs="宋体"/>
                <w:b/>
                <w:bCs/>
                <w:color w:val="000000"/>
                <w:szCs w:val="21"/>
              </w:rPr>
              <w:t>技术参数配置及要求</w:t>
            </w:r>
          </w:p>
        </w:tc>
        <w:tc>
          <w:tcPr>
            <w:tcW w:w="416" w:type="pct"/>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单位</w:t>
            </w:r>
          </w:p>
        </w:tc>
        <w:tc>
          <w:tcPr>
            <w:tcW w:w="417" w:type="pct"/>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数量</w:t>
            </w:r>
          </w:p>
        </w:tc>
        <w:tc>
          <w:tcPr>
            <w:tcW w:w="444" w:type="pct"/>
            <w:noWrap w:val="0"/>
            <w:vAlign w:val="center"/>
          </w:tcPr>
          <w:p>
            <w:pPr>
              <w:jc w:val="center"/>
              <w:rPr>
                <w:rFonts w:hint="eastAsia" w:ascii="宋体" w:hAnsi="宋体" w:cs="宋体"/>
                <w:b/>
                <w:bCs/>
                <w:color w:val="000000"/>
                <w:szCs w:val="21"/>
              </w:rPr>
            </w:pPr>
            <w:r>
              <w:rPr>
                <w:rFonts w:hint="eastAsia" w:ascii="宋体" w:hAnsi="宋体" w:cs="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1</w:t>
            </w:r>
          </w:p>
        </w:tc>
        <w:tc>
          <w:tcPr>
            <w:tcW w:w="432"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知识图谱构建和管理</w:t>
            </w: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知识图谱框架管理</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1.支持建立以学校的教务课程-知识点为体系的知识点架构进行后台知识图谱框架管理；</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2.支持对教务课程的课程类别、课程性质进行增删改查管理；</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3.支持按照学校不同专业关联不同的课程，生成学科/</w:t>
            </w:r>
            <w:r>
              <w:rPr>
                <w:rFonts w:hint="eastAsia" w:ascii="宋体" w:hAnsi="宋体" w:cs="宋体"/>
                <w:color w:val="000000"/>
                <w:szCs w:val="21"/>
                <w:lang w:eastAsia="zh-Hans"/>
              </w:rPr>
              <w:t>专业</w:t>
            </w:r>
            <w:r>
              <w:rPr>
                <w:rFonts w:hint="eastAsia" w:ascii="宋体" w:hAnsi="宋体" w:cs="宋体"/>
                <w:color w:val="000000"/>
                <w:szCs w:val="21"/>
              </w:rPr>
              <w:t>知识图谱；</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4.支持为网络课程和教务课程建立独立的知识图谱，便于统一管理。</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课程知识图谱构建</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1.支持知识点多层级架构建立，生成子父级知识点关系；</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2.支持手动添加、模板导入等方式手动构建知识图谱；</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3.支持智能导入，用户上传课程大纲、教材等，系统智能识别构建生成知识图谱；</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4.支持本地导入xmind格式的思维导图文件，自动读取文件数据，生成课程知识图谱；</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5.支持教务课程和网络课程知识图谱互相同步调用；</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6</w:t>
            </w:r>
            <w:r>
              <w:rPr>
                <w:rFonts w:hint="eastAsia" w:ascii="宋体" w:hAnsi="宋体" w:cs="宋体"/>
                <w:color w:val="000000"/>
                <w:szCs w:val="21"/>
                <w:lang w:eastAsia="zh-Hans"/>
              </w:rPr>
              <w:t>.支持课程章节一件转化生成知识图谱，并同时进行资源关联。</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color w:val="000000"/>
                <w:szCs w:val="21"/>
              </w:rPr>
              <w:t>7</w:t>
            </w:r>
            <w:r>
              <w:rPr>
                <w:rFonts w:hint="eastAsia" w:ascii="宋体" w:hAnsi="宋体" w:cs="宋体"/>
                <w:color w:val="000000"/>
                <w:szCs w:val="21"/>
                <w:lang w:eastAsia="zh-Hans"/>
              </w:rPr>
              <w:t>.支持克隆或继承前课程的知识图谱以及相关关系。</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课程知识图谱管理</w:t>
            </w: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color w:val="000000"/>
                <w:szCs w:val="21"/>
              </w:rPr>
              <w:t>1.支持知识点之间进行前置关系、后置关系、关联关系的设置；</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000000" w:fill="FFFFFF"/>
            <w:noWrap w:val="0"/>
            <w:vAlign w:val="center"/>
          </w:tcPr>
          <w:p>
            <w:pPr>
              <w:jc w:val="cente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2</w:t>
            </w:r>
            <w:r>
              <w:rPr>
                <w:rFonts w:hint="eastAsia" w:ascii="宋体" w:hAnsi="宋体" w:cs="宋体"/>
                <w:color w:val="000000"/>
                <w:szCs w:val="21"/>
                <w:lang w:eastAsia="zh-Hans"/>
              </w:rPr>
              <w:t>.支持关联关系自定义，可进行添加描述并显示在图谱页面</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3.支持给知识点打标签，自定义标签内容，支持同一个支持点标记多个标签；</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4.支持引用后台教务课程的知识图谱先进行审核，审核通过才允许引用，并记录引用次数；</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5.支持</w:t>
            </w:r>
            <w:r>
              <w:rPr>
                <w:rFonts w:hint="eastAsia" w:ascii="宋体" w:hAnsi="宋体" w:cs="宋体"/>
                <w:color w:val="000000"/>
                <w:szCs w:val="21"/>
                <w:lang w:eastAsia="zh-Hans"/>
              </w:rPr>
              <w:t>进行</w:t>
            </w:r>
            <w:r>
              <w:rPr>
                <w:rFonts w:hint="eastAsia" w:ascii="宋体" w:hAnsi="宋体" w:cs="宋体"/>
                <w:color w:val="000000"/>
                <w:szCs w:val="21"/>
              </w:rPr>
              <w:t>跨课</w:t>
            </w:r>
            <w:r>
              <w:rPr>
                <w:rFonts w:hint="eastAsia" w:ascii="宋体" w:hAnsi="宋体" w:cs="宋体"/>
                <w:color w:val="000000"/>
                <w:szCs w:val="21"/>
                <w:lang w:eastAsia="zh-Hans"/>
              </w:rPr>
              <w:t>知识点关联，实现不同课程自之间</w:t>
            </w:r>
            <w:r>
              <w:rPr>
                <w:rFonts w:hint="eastAsia" w:ascii="宋体" w:hAnsi="宋体" w:cs="宋体"/>
                <w:color w:val="000000"/>
                <w:szCs w:val="21"/>
              </w:rPr>
              <w:t>知识</w:t>
            </w:r>
            <w:r>
              <w:rPr>
                <w:rFonts w:hint="eastAsia" w:ascii="宋体" w:hAnsi="宋体" w:cs="宋体"/>
                <w:color w:val="000000"/>
                <w:szCs w:val="21"/>
                <w:lang w:eastAsia="zh-Hans"/>
              </w:rPr>
              <w:t>的聚合联动</w:t>
            </w:r>
            <w:r>
              <w:rPr>
                <w:rFonts w:hint="eastAsia" w:ascii="宋体" w:hAnsi="宋体" w:cs="宋体"/>
                <w:color w:val="000000"/>
                <w:szCs w:val="21"/>
              </w:rPr>
              <w:t>，关联后可以</w:t>
            </w:r>
            <w:r>
              <w:rPr>
                <w:rFonts w:hint="eastAsia" w:ascii="宋体" w:hAnsi="宋体" w:cs="宋体"/>
                <w:color w:val="000000"/>
                <w:szCs w:val="21"/>
                <w:lang w:eastAsia="zh-Hans"/>
              </w:rPr>
              <w:t>实现跨课学习并</w:t>
            </w:r>
            <w:r>
              <w:rPr>
                <w:rFonts w:hint="eastAsia" w:ascii="宋体" w:hAnsi="宋体" w:cs="宋体"/>
                <w:color w:val="000000"/>
                <w:szCs w:val="21"/>
              </w:rPr>
              <w:t>进行专业下多门课程的知识点关联展示</w:t>
            </w:r>
            <w:r>
              <w:rPr>
                <w:rFonts w:hint="eastAsia" w:ascii="宋体" w:hAnsi="宋体" w:cs="宋体"/>
                <w:color w:val="000000"/>
                <w:szCs w:val="21"/>
                <w:lang w:eastAsia="zh-Hans"/>
              </w:rPr>
              <w:t>应用</w:t>
            </w:r>
            <w:r>
              <w:rPr>
                <w:rFonts w:hint="eastAsia" w:ascii="宋体" w:hAnsi="宋体" w:cs="宋体"/>
                <w:color w:val="000000"/>
                <w:szCs w:val="21"/>
              </w:rPr>
              <w:t>；</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b/>
                <w:bCs/>
                <w:color w:val="000000"/>
                <w:szCs w:val="21"/>
              </w:rPr>
            </w:pPr>
            <w:r>
              <w:rPr>
                <w:rFonts w:hint="eastAsia" w:ascii="宋体" w:hAnsi="宋体" w:cs="宋体"/>
                <w:color w:val="000000"/>
                <w:szCs w:val="21"/>
              </w:rPr>
              <w:t>6.支持教师调整知识点在课程空间菜单栏的显示顺序；</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7</w:t>
            </w:r>
            <w:r>
              <w:rPr>
                <w:rFonts w:hint="eastAsia" w:ascii="宋体" w:hAnsi="宋体" w:cs="宋体"/>
                <w:color w:val="000000"/>
                <w:szCs w:val="21"/>
                <w:lang w:eastAsia="zh-Hans"/>
              </w:rPr>
              <w:t>.支持教师对图谱样式进行自定义设置，包含知识点的显示形状、颜色、位置，以及组别位置，适配多种展示场景</w:t>
            </w:r>
            <w:r>
              <w:rPr>
                <w:rFonts w:hint="eastAsia" w:ascii="宋体" w:hAnsi="宋体" w:cs="宋体"/>
                <w:szCs w:val="21"/>
                <w:lang w:eastAsia="zh-Hans"/>
              </w:rPr>
              <w:t>并设定学生端默认显示方案</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restart"/>
            <w:shd w:val="clear" w:color="000000" w:fill="FFFFFF"/>
            <w:noWrap w:val="0"/>
            <w:vAlign w:val="center"/>
          </w:tcPr>
          <w:p>
            <w:pPr>
              <w:jc w:val="center"/>
              <w:rPr>
                <w:rFonts w:ascii="宋体" w:hAnsi="宋体" w:cs="宋体"/>
                <w:color w:val="000000"/>
                <w:szCs w:val="21"/>
                <w:lang w:eastAsia="zh-Hans"/>
              </w:rPr>
            </w:pPr>
            <w:r>
              <w:rPr>
                <w:rFonts w:hint="eastAsia" w:ascii="宋体" w:hAnsi="宋体" w:cs="宋体"/>
                <w:color w:val="000000"/>
                <w:szCs w:val="21"/>
              </w:rPr>
              <w:t>课程知识图谱展示</w:t>
            </w: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color w:val="000000"/>
                <w:szCs w:val="21"/>
              </w:rPr>
              <w:t>1.系统支持根据知识树的关联关系，自动生成知识图谱；</w:t>
            </w:r>
            <w:r>
              <w:rPr>
                <w:rFonts w:hint="eastAsia" w:ascii="宋体" w:hAnsi="宋体" w:cs="宋体"/>
                <w:color w:val="000000"/>
                <w:szCs w:val="21"/>
                <w:lang w:eastAsia="zh-Hans"/>
              </w:rPr>
              <w:t>并在图谱页面以连线节点方式进行展示</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2.支持知识图谱形成网状结构，点击对应知识点即可查看知识点的相关资源。</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3.支持按照知识点的关系属性（父子、关联、前后置关系）联动筛选；</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4.支持按照知识点和标签两个维度进行知识点的筛选查看；</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5.支持教师端显示知识点统计卡片，点击对应知识点可以查看知识图谱建设情况以及学生学习情况；</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6.支持智能生成学科/专业知识图谱，直观展示课程的点以及跨课程的知识点相关关系帮助交叉学科以及整合课程的发现与规划；</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7.支持知识图谱的显示展开收起功能，默认显示父级知识点，点击显示子级知识点；</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8.教师端在图谱上支持显示所有知识点的综合统计情况卡片；</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widowControl/>
              <w:numPr>
                <w:ilvl w:val="0"/>
                <w:numId w:val="1"/>
              </w:numPr>
              <w:jc w:val="left"/>
              <w:rPr>
                <w:rFonts w:ascii="宋体" w:hAnsi="宋体" w:cs="宋体"/>
                <w:color w:val="000000"/>
                <w:szCs w:val="21"/>
                <w:lang w:eastAsia="zh-Hans"/>
              </w:rPr>
            </w:pPr>
            <w:r>
              <w:rPr>
                <w:rFonts w:hint="eastAsia" w:ascii="宋体" w:hAnsi="宋体" w:cs="宋体"/>
                <w:szCs w:val="21"/>
                <w:lang w:eastAsia="zh-Hans"/>
              </w:rPr>
              <w:t>支持显示教师端自定义图谱样式，并进行配色方案切换展示。</w:t>
            </w:r>
          </w:p>
        </w:tc>
        <w:tc>
          <w:tcPr>
            <w:tcW w:w="416" w:type="pct"/>
            <w:shd w:val="clear" w:color="000000" w:fill="FFFFFF"/>
            <w:noWrap w:val="0"/>
            <w:vAlign w:val="top"/>
          </w:tcPr>
          <w:p>
            <w:pPr>
              <w:widowControl/>
              <w:jc w:val="left"/>
              <w:rPr>
                <w:rFonts w:hint="eastAsia" w:ascii="宋体" w:hAnsi="宋体" w:cs="宋体"/>
                <w:szCs w:val="21"/>
                <w:lang w:eastAsia="zh-Hans"/>
              </w:rPr>
            </w:pPr>
            <w:r>
              <w:rPr>
                <w:rFonts w:hint="eastAsia" w:ascii="宋体" w:hAnsi="宋体" w:cs="宋体"/>
                <w:color w:val="000000"/>
                <w:szCs w:val="21"/>
              </w:rPr>
              <w:t>套</w:t>
            </w:r>
          </w:p>
        </w:tc>
        <w:tc>
          <w:tcPr>
            <w:tcW w:w="417" w:type="pct"/>
            <w:shd w:val="clear" w:color="000000" w:fill="FFFFFF"/>
            <w:noWrap w:val="0"/>
            <w:vAlign w:val="top"/>
          </w:tcPr>
          <w:p>
            <w:pPr>
              <w:widowControl/>
              <w:jc w:val="left"/>
              <w:rPr>
                <w:rFonts w:hint="eastAsia" w:ascii="宋体" w:hAnsi="宋体" w:cs="宋体"/>
                <w:szCs w:val="21"/>
                <w:lang w:eastAsia="zh-Hans"/>
              </w:rPr>
            </w:pPr>
            <w:r>
              <w:rPr>
                <w:rFonts w:hint="eastAsia" w:ascii="宋体" w:hAnsi="宋体" w:cs="宋体"/>
                <w:color w:val="000000"/>
                <w:szCs w:val="21"/>
              </w:rPr>
              <w:t>1</w:t>
            </w:r>
          </w:p>
        </w:tc>
        <w:tc>
          <w:tcPr>
            <w:tcW w:w="444" w:type="pct"/>
            <w:shd w:val="clear" w:color="000000" w:fill="FFFFFF"/>
            <w:noWrap w:val="0"/>
            <w:vAlign w:val="top"/>
          </w:tcPr>
          <w:p>
            <w:pPr>
              <w:widowControl/>
              <w:jc w:val="left"/>
              <w:rPr>
                <w:rFonts w:hint="eastAsia" w:ascii="宋体" w:hAnsi="宋体" w:cs="宋体"/>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★10.</w:t>
            </w:r>
            <w:r>
              <w:rPr>
                <w:rFonts w:hint="eastAsia" w:ascii="宋体" w:hAnsi="宋体" w:cs="宋体"/>
                <w:szCs w:val="21"/>
                <w:lang w:eastAsia="zh-Hans"/>
              </w:rPr>
              <w:t>支持思维导图模式展示图谱内容，支持切换不同的结构形式查看以及检索知识点快速查找；同时思维导图支持编辑模式，可进行操作的回退前进，知识点的增删改，以及属性编辑等。</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FF"/>
                <w:szCs w:val="21"/>
                <w:lang w:eastAsia="zh-Hans"/>
              </w:rPr>
            </w:pPr>
            <w:r>
              <w:rPr>
                <w:rFonts w:hint="eastAsia" w:ascii="宋体" w:hAnsi="宋体" w:cs="宋体"/>
                <w:szCs w:val="21"/>
              </w:rPr>
              <w:t>★11.</w:t>
            </w:r>
            <w:r>
              <w:rPr>
                <w:rFonts w:hint="eastAsia" w:ascii="宋体" w:hAnsi="宋体" w:cs="宋体"/>
                <w:szCs w:val="21"/>
                <w:lang w:eastAsia="zh-Hans"/>
              </w:rPr>
              <w:t>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FF"/>
                <w:szCs w:val="21"/>
                <w:lang w:eastAsia="zh-Hans"/>
              </w:rPr>
            </w:pPr>
            <w:r>
              <w:rPr>
                <w:rFonts w:hint="eastAsia" w:ascii="宋体" w:hAnsi="宋体" w:cs="宋体"/>
                <w:szCs w:val="21"/>
              </w:rPr>
              <w:t>★12.</w:t>
            </w:r>
            <w:r>
              <w:rPr>
                <w:rFonts w:hint="eastAsia" w:ascii="宋体" w:hAnsi="宋体" w:cs="宋体"/>
                <w:szCs w:val="21"/>
                <w:lang w:eastAsia="zh-Hans"/>
              </w:rPr>
              <w:t>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2</w:t>
            </w:r>
          </w:p>
        </w:tc>
        <w:tc>
          <w:tcPr>
            <w:tcW w:w="432"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知识图谱应用</w:t>
            </w: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资源管理</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1.支持教师对课程章节内容，包括——视频、音频、文档、图书、章节测验等进行知识点标记，作为知识点教学任务进行设置，方便学生按知识点进行任务学习；</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2.支持支持系统智能识别视频内容，在视频时间点上自动打知识点标签，教师可以编辑修改；视频播放时学生可以定位到时间点观看对应知识点的视频讲解；</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3.支持批量对课程资料标记知识点；</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4.支持按知识点上传资源，并查看知识点关联资源数量，方便教师按知识点管理资源；</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题库管理</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1.支持多种题型的创建管理，包括单选、多选、填空、判断、简答、名词解析、论述、计算、分录、连线、排序、完形填空、阅读理解、口语、听力等常见题型；</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2.支持在创建或编辑题目时标记每道题对应的知识点标签，并支持按知识点筛选管理题目；</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3.支持按模板批量导入题目时导入题目知识点；</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4.支持批量编辑题目关联知识点；</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5.支持错题显示解析以及相关知识点并支持点击跳转知识点学习页面进行自适应学习；</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6</w:t>
            </w:r>
            <w:r>
              <w:rPr>
                <w:rFonts w:hint="eastAsia" w:ascii="宋体" w:hAnsi="宋体" w:cs="宋体"/>
                <w:color w:val="000000"/>
                <w:szCs w:val="21"/>
                <w:lang w:eastAsia="zh-Hans"/>
              </w:rPr>
              <w:t>.题目关联知识点操作时系统支持智能推荐知识点，便于教师快速进行关联操作</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作业管理</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支持创建作业，添加题目打知识点标签，也支持从题库抽题按知识点抽题，组建带有知识点的作业发放给学生作答。</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考试管理</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 xml:space="preserve">需支持手动组建考试试卷和智能组卷可以按知识点抽题，组建带有知识点的试卷发放给学生考试。 </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学生端知识点学习</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1.支持学生查看课程知识图谱，并查看每个知识点的学习进度情况；</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2.支持学生按知识点进行课程任务学习，观看课程视频，阅读课程资料等；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3.支持学生提交作业、考试，查看自己作答作业、考试题目的知识点掌握情况，并查看知识点推荐资源，巩固学习；</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4.支持学生按知识点从题库或错题本抽题，逐题自测。</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5</w:t>
            </w:r>
            <w:r>
              <w:rPr>
                <w:rFonts w:hint="eastAsia" w:ascii="宋体" w:hAnsi="宋体" w:cs="宋体"/>
                <w:color w:val="000000"/>
                <w:szCs w:val="21"/>
                <w:lang w:eastAsia="zh-Hans"/>
              </w:rPr>
              <w:t>.支持学生自测时可以设置抽题范围，仅抽当前知识点以及前置知识点的题，避免抽到未开始学习的知识点试题；</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6</w:t>
            </w:r>
            <w:r>
              <w:rPr>
                <w:rFonts w:hint="eastAsia" w:ascii="宋体" w:hAnsi="宋体" w:cs="宋体"/>
                <w:color w:val="000000"/>
                <w:szCs w:val="21"/>
                <w:lang w:eastAsia="zh-Hans"/>
              </w:rPr>
              <w:t>.图谱页面支持多维度筛选以及配色方案的切换；便于更直观的查看各个知识点不同维度的学习情况。</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3</w:t>
            </w:r>
          </w:p>
        </w:tc>
        <w:tc>
          <w:tcPr>
            <w:tcW w:w="432"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知识图谱统计与分析</w:t>
            </w: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教师端知识图谱统计</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1.支持教师查看班级整体知识点分析统计，查看知识点平均完成率、平均掌握率、完成率分布和掌握率分布等；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2.支持按知识点查看每个知识点的关联学习资源数、平均完成率、平均掌握率、课程资料数、课程资料人均阅读情况等；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支持查看单个知识点的班级统计分析详情和推荐资源，包括此知识点的平均完成率、最高掌握率、最低掌握率、平均掌握率、每个学生的此知识点完成情况和掌握情况、此知识点的每个教学任务的平均完成情况、掌握情况等，以及查看此知识点的课程资源和系统推荐的拓展资源，支持教师添加拓展资源到课程，方便教师共享给学生阅读观看。</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4.支持查看班级下每个学生的知识点平均完成情况、平均掌握情况、课程资料阅读情况等；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5.支持查看某一位学生的每个知识点的详情统计，包括每个知识点的完成情况、掌握情况、课程资料阅读情况等；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6.支持查看某一位学生某个知识点的统计详情，包括学生此知识点的完成情况、掌握情况、知识点关联的学习任务完成详情等以及查看此知识点的课程资源和系统推荐的拓展资源。</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lang w:eastAsia="zh-Hans"/>
              </w:rPr>
              <w:t>7.支持自定义变量进行统计，系统自动输出图谱或散点图；</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学生端知识图谱统计</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1.支持学生查看本人的知识点统计分析，包括每个知识点的完成情况、掌握情况、课程资料阅读情况等；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 支持学生查看自己单个知识点的统计分析详情和推荐资源，包括此知识点的完成情况、掌握情况、知识点关联的学习任务完成详情等</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4</w:t>
            </w:r>
          </w:p>
        </w:tc>
        <w:tc>
          <w:tcPr>
            <w:tcW w:w="432"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知识图谱智能路径规划与资源推荐</w:t>
            </w:r>
          </w:p>
        </w:tc>
        <w:tc>
          <w:tcPr>
            <w:tcW w:w="407" w:type="pct"/>
            <w:vMerge w:val="restart"/>
            <w:shd w:val="clear" w:color="000000" w:fill="FFFFFF"/>
            <w:noWrap w:val="0"/>
            <w:vAlign w:val="center"/>
          </w:tcPr>
          <w:p>
            <w:pPr>
              <w:jc w:val="center"/>
              <w:rPr>
                <w:rFonts w:ascii="宋体" w:hAnsi="宋体" w:cs="宋体"/>
                <w:color w:val="000000"/>
                <w:szCs w:val="21"/>
              </w:rPr>
            </w:pPr>
            <w:r>
              <w:rPr>
                <w:rFonts w:hint="eastAsia" w:ascii="宋体" w:hAnsi="宋体" w:cs="宋体"/>
                <w:color w:val="000000"/>
                <w:szCs w:val="21"/>
              </w:rPr>
              <w:t>资源推荐</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1.支持学生查看基于知识点的智能学习路径，系统根据学生知识点掌握情况，智能规划知识点学习路径，学生可以按学习路径进行知识点的学习和巩固。</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2.支持按照知识点，系统智能推荐拓展资源给学生学习；</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lang w:eastAsia="zh-Hans"/>
              </w:rPr>
            </w:pPr>
            <w:r>
              <w:rPr>
                <w:rFonts w:hint="eastAsia" w:ascii="宋体" w:hAnsi="宋体" w:cs="宋体"/>
                <w:szCs w:val="21"/>
              </w:rPr>
              <w:t>★</w:t>
            </w:r>
            <w:r>
              <w:rPr>
                <w:rFonts w:hint="eastAsia" w:ascii="宋体" w:hAnsi="宋体" w:cs="宋体"/>
                <w:color w:val="000000"/>
                <w:szCs w:val="21"/>
              </w:rPr>
              <w:t>3</w:t>
            </w:r>
            <w:r>
              <w:rPr>
                <w:rFonts w:hint="eastAsia" w:ascii="宋体" w:hAnsi="宋体" w:cs="宋体"/>
                <w:color w:val="000000"/>
                <w:szCs w:val="21"/>
                <w:lang w:eastAsia="zh-Hans"/>
              </w:rPr>
              <w:t>.支持推荐课内资源（教师关联的资源）平台资源（专业资源库，便于学校平台的资源聚合）超星资源（海量安全权威的超星资源推荐），并支持一键添加关联</w:t>
            </w:r>
          </w:p>
        </w:tc>
        <w:tc>
          <w:tcPr>
            <w:tcW w:w="416"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6" w:type="pct"/>
            <w:vMerge w:val="restart"/>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5</w:t>
            </w:r>
          </w:p>
        </w:tc>
        <w:tc>
          <w:tcPr>
            <w:tcW w:w="432" w:type="pct"/>
            <w:vMerge w:val="restart"/>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基于资源库的知识图谱建设与应用</w:t>
            </w:r>
          </w:p>
          <w:p>
            <w:pPr>
              <w:jc w:val="center"/>
              <w:rPr>
                <w:rFonts w:ascii="宋体" w:hAnsi="宋体" w:cs="宋体"/>
                <w:szCs w:val="21"/>
              </w:rPr>
            </w:pPr>
          </w:p>
        </w:tc>
        <w:tc>
          <w:tcPr>
            <w:tcW w:w="407" w:type="pct"/>
            <w:vMerge w:val="restart"/>
            <w:shd w:val="clear" w:color="auto" w:fill="auto"/>
            <w:noWrap/>
            <w:vAlign w:val="center"/>
          </w:tcPr>
          <w:p>
            <w:pPr>
              <w:jc w:val="center"/>
              <w:rPr>
                <w:rFonts w:ascii="宋体" w:hAnsi="宋体" w:cs="宋体"/>
                <w:color w:val="000000"/>
                <w:szCs w:val="21"/>
              </w:rPr>
            </w:pPr>
            <w:r>
              <w:rPr>
                <w:rFonts w:hint="eastAsia" w:ascii="宋体" w:hAnsi="宋体" w:cs="宋体"/>
                <w:color w:val="000000"/>
                <w:szCs w:val="21"/>
              </w:rPr>
              <w:t>资源库知识图谱建设与应用</w:t>
            </w: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 xml:space="preserve">1.支持资源库后台维护知识图谱，增删改建知识点；  </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 xml:space="preserve">2.支持资源库上传资源的时候进行知识点的标记，一个资源可以支持标记多个知识点；                   </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供应商应擅长知识图谱资源制作，且具有相关项目服务经验，了解教学规律、理解知识图谱内涵。本项目供应商应具有丰富的知识图谱资源体系建设理念和经验，且具有普通高等学校知识图谱资源体系建设项目经历，提供近两年至少一个相关项目合同复印件；建设的知识图谱的课程，需要在学银在线平台上使用和推广，提供能与学银在线平台对接的承诺书。</w:t>
            </w:r>
            <w:bookmarkStart w:id="1" w:name="_GoBack"/>
            <w:bookmarkEnd w:id="1"/>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 xml:space="preserve">4.资源详情页支持显示资源标记的知识点；        </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356" w:type="pct"/>
            <w:vMerge w:val="continue"/>
            <w:shd w:val="clear" w:color="auto" w:fill="auto"/>
            <w:noWrap w:val="0"/>
            <w:vAlign w:val="center"/>
          </w:tcPr>
          <w:p>
            <w:pPr>
              <w:rPr>
                <w:rFonts w:ascii="宋体" w:hAnsi="宋体" w:cs="宋体"/>
                <w:color w:val="000000"/>
                <w:szCs w:val="21"/>
              </w:rPr>
            </w:pPr>
          </w:p>
        </w:tc>
        <w:tc>
          <w:tcPr>
            <w:tcW w:w="432" w:type="pct"/>
            <w:vMerge w:val="continue"/>
            <w:shd w:val="clear" w:color="auto" w:fill="auto"/>
            <w:noWrap w:val="0"/>
            <w:vAlign w:val="center"/>
          </w:tcPr>
          <w:p>
            <w:pPr>
              <w:rPr>
                <w:rFonts w:ascii="宋体" w:hAnsi="宋体" w:cs="宋体"/>
                <w:color w:val="000000"/>
                <w:szCs w:val="21"/>
              </w:rPr>
            </w:pPr>
          </w:p>
        </w:tc>
        <w:tc>
          <w:tcPr>
            <w:tcW w:w="407" w:type="pct"/>
            <w:vMerge w:val="continue"/>
            <w:shd w:val="clear" w:color="auto" w:fill="auto"/>
            <w:noWrap w:val="0"/>
            <w:vAlign w:val="center"/>
          </w:tcPr>
          <w:p>
            <w:pPr>
              <w:rPr>
                <w:rFonts w:ascii="宋体" w:hAnsi="宋体" w:cs="宋体"/>
                <w:color w:val="000000"/>
                <w:szCs w:val="21"/>
              </w:rPr>
            </w:pPr>
          </w:p>
        </w:tc>
        <w:tc>
          <w:tcPr>
            <w:tcW w:w="2528" w:type="pct"/>
            <w:shd w:val="clear" w:color="000000" w:fill="FFFFFF"/>
            <w:noWrap w:val="0"/>
            <w:vAlign w:val="center"/>
          </w:tcPr>
          <w:p>
            <w:pPr>
              <w:rPr>
                <w:rFonts w:ascii="宋体" w:hAnsi="宋体" w:cs="宋体"/>
                <w:color w:val="000000"/>
                <w:szCs w:val="21"/>
              </w:rPr>
            </w:pPr>
            <w:r>
              <w:rPr>
                <w:rFonts w:hint="eastAsia" w:ascii="宋体" w:hAnsi="宋体" w:cs="宋体"/>
                <w:color w:val="000000"/>
                <w:szCs w:val="21"/>
              </w:rPr>
              <w:t>5.支持按照专业（群）生成知识图谱，点击对应知识点即可跳转到资源库指定关联知识点的资源详情页；</w:t>
            </w:r>
          </w:p>
        </w:tc>
        <w:tc>
          <w:tcPr>
            <w:tcW w:w="416"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套</w:t>
            </w:r>
          </w:p>
        </w:tc>
        <w:tc>
          <w:tcPr>
            <w:tcW w:w="417" w:type="pct"/>
            <w:shd w:val="clear" w:color="000000" w:fill="FFFFFF"/>
            <w:noWrap w:val="0"/>
            <w:vAlign w:val="top"/>
          </w:tcPr>
          <w:p>
            <w:pPr>
              <w:rPr>
                <w:rFonts w:hint="eastAsia" w:ascii="宋体" w:hAnsi="宋体" w:cs="宋体"/>
                <w:color w:val="000000"/>
                <w:szCs w:val="21"/>
              </w:rPr>
            </w:pPr>
            <w:r>
              <w:rPr>
                <w:rFonts w:hint="eastAsia" w:ascii="宋体" w:hAnsi="宋体" w:cs="宋体"/>
                <w:color w:val="000000"/>
                <w:szCs w:val="21"/>
              </w:rPr>
              <w:t>1</w:t>
            </w:r>
          </w:p>
        </w:tc>
        <w:tc>
          <w:tcPr>
            <w:tcW w:w="444" w:type="pct"/>
            <w:shd w:val="clear" w:color="000000" w:fill="FFFFFF"/>
            <w:noWrap w:val="0"/>
            <w:vAlign w:val="top"/>
          </w:tcPr>
          <w:p>
            <w:pPr>
              <w:rPr>
                <w:rFonts w:hint="eastAsia" w:ascii="宋体" w:hAnsi="宋体" w:cs="宋体"/>
                <w:color w:val="000000"/>
                <w:szCs w:val="21"/>
              </w:rPr>
            </w:pP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544E4"/>
    <w:multiLevelType w:val="singleLevel"/>
    <w:tmpl w:val="7FB544E4"/>
    <w:lvl w:ilvl="0" w:tentative="0">
      <w:start w:val="9"/>
      <w:numFmt w:val="decimal"/>
      <w:suff w:val="space"/>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s>
  <w:rsids>
    <w:rsidRoot w:val="156043FB"/>
    <w:rsid w:val="05DC6105"/>
    <w:rsid w:val="0EF63B6F"/>
    <w:rsid w:val="156043FB"/>
    <w:rsid w:val="167452C7"/>
    <w:rsid w:val="17FC77D2"/>
    <w:rsid w:val="200E3254"/>
    <w:rsid w:val="27B7416D"/>
    <w:rsid w:val="441F22EE"/>
    <w:rsid w:val="5B513A37"/>
    <w:rsid w:val="62D434FE"/>
    <w:rsid w:val="65960FF5"/>
    <w:rsid w:val="72341053"/>
    <w:rsid w:val="72C179B4"/>
    <w:rsid w:val="76387C33"/>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3208</Words>
  <Characters>3277</Characters>
  <Lines>0</Lines>
  <Paragraphs>0</Paragraphs>
  <TotalTime>0</TotalTime>
  <ScaleCrop>false</ScaleCrop>
  <LinksUpToDate>false</LinksUpToDate>
  <CharactersWithSpaces>3308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2023-10-13T03:03:00Z</dcterms:created>
  <dc:creator>刘睿瑶</dc:creator>
  <cp:lastModifiedBy>刘睿瑶</cp:lastModifiedBy>
  <dcterms:modified xsi:type="dcterms:W3CDTF">2023-10-16T02:33:25Z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790B4C2C7BC8413C9D33349B5EB5C018</vt:lpwstr>
  </property>
</Properties>
</file>