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shd w:val="clear" w:color="auto" w:fill="FFFFFF"/>
          <w:lang w:val="en-US" w:eastAsia="zh-CN"/>
        </w:rPr>
        <w:t xml:space="preserve">附件二 </w:t>
      </w:r>
      <w:r>
        <w:rPr>
          <w:rFonts w:hint="eastAsia" w:ascii="宋体" w:hAnsi="宋体" w:cs="宋体"/>
          <w:color w:val="auto"/>
          <w:kern w:val="0"/>
          <w:sz w:val="28"/>
          <w:szCs w:val="28"/>
          <w:shd w:val="clear" w:color="auto" w:fill="FFFFFF"/>
        </w:rPr>
        <w:t>采购清单与技术参数</w:t>
      </w: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619"/>
        <w:gridCol w:w="58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类目</w:t>
            </w: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技术参数要求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sz w:val="24"/>
                <w:szCs w:val="24"/>
              </w:rPr>
              <w:t>实训</w:t>
            </w:r>
            <w:r>
              <w:rPr>
                <w:rFonts w:hint="eastAsia" w:ascii="宋体" w:hAnsi="宋体" w:cs="宋体"/>
                <w:sz w:val="24"/>
                <w:szCs w:val="24"/>
              </w:rPr>
              <w:t>指导书</w:t>
            </w:r>
            <w:r>
              <w:rPr>
                <w:rFonts w:hint="eastAsia"/>
                <w:sz w:val="24"/>
                <w:szCs w:val="24"/>
              </w:rPr>
              <w:t>（基于SOP活页式）</w:t>
            </w: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实训指导资源</w:t>
            </w:r>
            <w:r>
              <w:rPr>
                <w:sz w:val="24"/>
                <w:szCs w:val="24"/>
              </w:rPr>
              <w:t>数量不少于2</w:t>
            </w:r>
            <w:r>
              <w:rPr>
                <w:rFonts w:hint="eastAsia"/>
                <w:sz w:val="24"/>
                <w:szCs w:val="24"/>
              </w:rPr>
              <w:t>项</w:t>
            </w:r>
            <w:r>
              <w:rPr>
                <w:sz w:val="24"/>
                <w:szCs w:val="24"/>
              </w:rPr>
              <w:t>，最终数量确定应以采购人教材和课程负责人签字认可为准。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实训指导资源</w:t>
            </w:r>
            <w:r>
              <w:rPr>
                <w:sz w:val="24"/>
                <w:szCs w:val="24"/>
              </w:rPr>
              <w:t>字符数：不少于15000个（不计空格）。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实训指导资源</w:t>
            </w:r>
            <w:r>
              <w:rPr>
                <w:sz w:val="24"/>
                <w:szCs w:val="24"/>
              </w:rPr>
              <w:t>编制团队：主编不少于2个，副主编不少于3个。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▲</w:t>
            </w:r>
            <w:r>
              <w:rPr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>实训指导资源</w:t>
            </w:r>
            <w:r>
              <w:rPr>
                <w:sz w:val="24"/>
                <w:szCs w:val="24"/>
              </w:rPr>
              <w:t>结构包含（但不限于）封面、编写说明、目录、学时分配、实训内容、考核标准及方式，实训报告指导，思考题、习题、参考文献等。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5.实训指导资源</w:t>
            </w:r>
            <w:r>
              <w:rPr>
                <w:sz w:val="24"/>
                <w:szCs w:val="24"/>
              </w:rPr>
              <w:t>学时分配以表格的形式呈现，包含序号、项目名称、项目内容和参考学时。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.实训内容以项目类别划分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数控车铣</w:t>
            </w:r>
            <w:r>
              <w:rPr>
                <w:rFonts w:hint="eastAsia"/>
                <w:sz w:val="24"/>
                <w:szCs w:val="24"/>
              </w:rPr>
              <w:t>不少于21个项目，</w:t>
            </w:r>
            <w:r>
              <w:rPr>
                <w:sz w:val="24"/>
                <w:szCs w:val="24"/>
              </w:rPr>
              <w:t>工业机器人</w:t>
            </w:r>
            <w:r>
              <w:rPr>
                <w:rFonts w:hint="eastAsia"/>
                <w:sz w:val="24"/>
                <w:szCs w:val="24"/>
              </w:rPr>
              <w:t>不少于9个项目。</w:t>
            </w:r>
            <w:r>
              <w:rPr>
                <w:sz w:val="24"/>
                <w:szCs w:val="24"/>
              </w:rPr>
              <w:t>具体内容包括项目名称、实训目的、设备和工具、学习内容、实训步骤。其中实训目的不少于4条，详细列出实训设备和工具，学习内容根据具体情况提供图片，实训步骤不少于5条。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.考核标准及方式包括考查的依据、总成绩评价方式、总成绩构成。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.1考查的依据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实训中的表现，出勤情况，对实训相关知识的掌握程度，实际操作技术的熟练程度，分析和解决问题的能力，以及对设备工具维护的情况，实训报告的编写水平等。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.2总成绩评价方式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总成绩采取记分制或分为优、良、中、及格、不及格五等，由指导教师和学生共同负责完成。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.3总成绩构成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根据工作态度、过程考核确定平时成绩、实训报告等三部分确定最后成绩，分别为工作态度占30%、技能与理论掌握程度占60%、实训报告占10%。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.实训报告指导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统一用16开A4纸装订，包括：封面（实训名称、专业班级、学号、姓名、实训日期、实训地点、指导教师、实训成绩）、目录（①实训目的与任务，②实训主要内容，③实</w:t>
            </w:r>
            <w:r>
              <w:rPr>
                <w:rFonts w:hint="eastAsia"/>
                <w:sz w:val="24"/>
                <w:szCs w:val="24"/>
              </w:rPr>
              <w:t>训</w:t>
            </w:r>
            <w:r>
              <w:rPr>
                <w:sz w:val="24"/>
                <w:szCs w:val="24"/>
              </w:rPr>
              <w:t>收获与体会</w:t>
            </w:r>
            <w:r>
              <w:rPr>
                <w:rFonts w:hint="eastAsia"/>
                <w:sz w:val="24"/>
                <w:szCs w:val="24"/>
              </w:rPr>
              <w:t>④</w:t>
            </w:r>
            <w:r>
              <w:rPr>
                <w:sz w:val="24"/>
                <w:szCs w:val="24"/>
              </w:rPr>
              <w:t>实训中遇到的问题及解决方案）、正文。</w:t>
            </w:r>
          </w:p>
          <w:p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分别满足教师开展数控车铣和工业机器人实训教学的教学引导作用。其中数控车铣46个课时；工业机器人64个课时。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  <w:r>
              <w:rPr>
                <w:sz w:val="24"/>
                <w:szCs w:val="24"/>
              </w:rPr>
              <w:t>实训手册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（基于SOP活页式）</w:t>
            </w: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实训资源</w:t>
            </w:r>
            <w:r>
              <w:rPr>
                <w:sz w:val="24"/>
                <w:szCs w:val="24"/>
              </w:rPr>
              <w:t>数量不少于2</w:t>
            </w:r>
            <w:r>
              <w:rPr>
                <w:rFonts w:hint="eastAsia"/>
                <w:sz w:val="24"/>
                <w:szCs w:val="24"/>
              </w:rPr>
              <w:t>项</w:t>
            </w:r>
            <w:r>
              <w:rPr>
                <w:sz w:val="24"/>
                <w:szCs w:val="24"/>
              </w:rPr>
              <w:t>，最终数量确定应以采购人教材和课程负责人签字认可为准。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实训资源中数控车铣不少于21个项目，工业机器人不少于9个项目；</w:t>
            </w:r>
            <w:r>
              <w:rPr>
                <w:sz w:val="24"/>
                <w:szCs w:val="24"/>
              </w:rPr>
              <w:t>字符数不少于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000个（不计空格）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▲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实训资源</w:t>
            </w:r>
            <w:r>
              <w:rPr>
                <w:sz w:val="24"/>
                <w:szCs w:val="24"/>
              </w:rPr>
              <w:t>结构为封面、项目引入、项目工作任务、项目要求、项目设备和工具、项目内容分析、项目步骤、考核、成绩评分标准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实训报告。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实训资源</w:t>
            </w:r>
            <w:r>
              <w:rPr>
                <w:sz w:val="24"/>
                <w:szCs w:val="24"/>
              </w:rPr>
              <w:t>封面页包含项目名称、姓名、学号、班级、指导教师、日期。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.项目工作任务、项目要求不少于3条。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.项目内容分析：根据每个项目具体内容进行简述和分析。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.项目步骤：以图文并茂的形式呈现。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.考核:以实训中的表现，出勤情况，对实训相关知识的掌握程度，实际操作技术的熟练程度，分析和解决问题的能力，以及对设备工具维护的情况，实训报告的编写水平等为依据进行考核。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成绩评分标准：根据工作态度、过程考核确定平时成绩、实训报告等三部分确定最后成绩，分别为工作态度占30%、技能与理论掌握程度占60%、实训报告占10%。成绩评价方式采取记分制或分为优、良、中、及格、不及格五等，由指导教师和学生共同负责完成。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实训报告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统一用16开A4纸装订，包括：封面（实训名称、专业班级、学号、姓名、实训日期、实训地点、指导教师、实训成绩）、目录（①实训目的与任务，②实训主要内容，③实</w:t>
            </w:r>
            <w:r>
              <w:rPr>
                <w:rFonts w:hint="eastAsia"/>
                <w:sz w:val="24"/>
                <w:szCs w:val="24"/>
              </w:rPr>
              <w:t>训</w:t>
            </w:r>
            <w:r>
              <w:rPr>
                <w:sz w:val="24"/>
                <w:szCs w:val="24"/>
              </w:rPr>
              <w:t>收获与体会</w:t>
            </w:r>
            <w:r>
              <w:rPr>
                <w:rFonts w:hint="eastAsia"/>
                <w:sz w:val="24"/>
                <w:szCs w:val="24"/>
              </w:rPr>
              <w:t>④</w:t>
            </w:r>
            <w:r>
              <w:rPr>
                <w:sz w:val="24"/>
                <w:szCs w:val="24"/>
              </w:rPr>
              <w:t>实训中遇到的问题及解决方案）、正文。</w:t>
            </w:r>
          </w:p>
          <w:p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>分别满</w:t>
            </w:r>
            <w:bookmarkStart w:id="0" w:name="_GoBack"/>
            <w:bookmarkEnd w:id="0"/>
            <w:r>
              <w:rPr>
                <w:sz w:val="24"/>
                <w:szCs w:val="24"/>
              </w:rPr>
              <w:t>足学生开展数控车铣和工业机器人实训教学的学习</w:t>
            </w:r>
            <w:r>
              <w:rPr>
                <w:rFonts w:hint="eastAsia"/>
                <w:sz w:val="24"/>
                <w:szCs w:val="24"/>
              </w:rPr>
              <w:t>使用</w:t>
            </w:r>
            <w:r>
              <w:rPr>
                <w:sz w:val="24"/>
                <w:szCs w:val="24"/>
              </w:rPr>
              <w:t>。其中数控车铣46个课时；工业机器人64个课时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6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3D动画</w:t>
            </w: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1.提供动画总时长不少于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秒，每个动画参考时长10～120秒，最终时长确定应以采购人课程负责人认可为准；动画输出格式为MP4、AVI、MOV等格式。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▲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2.动画的后期封装，视频压缩采用H.264（MPEG-4 Part10：profile=main，level=3.0）编码方式，码率3M以上，帧率不低于25fps，分辨率不低于1920×1080，声音、画面同步。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3.3D动画保持每个素材的独立性，要求提交给课程负责人动画源文件、导出文件。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4.3D动画表现形式为片头+三维动画+配音+字幕+背景音乐，内容为原创内容，不存在知识产权相关问题。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5.3D动画统一设定模板、颜色，色彩造型和谐，画面简洁清晰，字体醒目，字体、字号与内容协调。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6.3D动画要求按照脚本的内容进行创意，符合教学需求，简单明了。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7.3D动画需要有连续性，节奏合适，画面之间的关联性要强，帧速率不低于25帧。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8.3D动画分镜与分镜切换之前做出相应的镜头切换特效。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9.3D动画图像以矢量为主，格式为jpg或png的位图。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10.3D动画音频的频率为48kHz，码流率不超过64 kpbs，格式为mp3。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11.3D动画背景音乐音量不宜过大，音乐与内容相符，3D动画声音与画面同步。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12.3D动画视频码率一般为1Mbps～10Mbps，对视频质量有特殊要求的不得超过10Mbps，输出单个mp4文件不得小于2MB。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▲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13.3D动画制作保证源文件的兼容性，便于后期修改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交互式数字资源</w:t>
            </w: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1.提供的交互式微课不少于</w:t>
            </w:r>
            <w:r>
              <w:rPr>
                <w:rFonts w:hint="eastAsia"/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个。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2.微课视频制作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2.1视频拍摄：提供多机位拍摄、现场拍摄指导和课程设计教学指导；负责完成脚本，脚本内容流畅、知识点专业可靠，情景设置准确，展现形式符合授课内容。    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2.2单个视频时长为10-20分钟，视频最终时长确定应以采购人教材和课程负责人签字认可为准。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教学录像按教学单元录制，声音和画面要求同步，无交流声或其他杂音等缺陷，无明显失真、放音过冲、过弱。伴音清晰、饱满、圆润，无失真、噪声杂音干扰、音量忽大忽小现象。解说声与现场声、背景音乐无明显比例失调，音乐与动画节奏融合合理，音量大小适中、可调。音频信噪比不低于48dB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2.4每个微课提供专业虚拟场景，保证录像环境光线充足、安静、整洁，确保出镜人员衣着得体，讲话清晰，板书清楚，设备外观整洁、运行正常。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2.5提供专业配音人员和专业设备配音，读音标准、无噪声、节奏适度。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视频需要编辑字幕；字幕清晰美观，能正确有效地传达信息；字幕要使用符合国家标准的规范字，不出现繁体字、异体字(国家规定的除外)、第二批简化字或错别字；字幕的字体、大小、色彩搭配、摆放位置、停留时间、出入屏方式力求与其他要素（画面、解说词、音乐）配合适当，不能破坏原有画面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2.7片头：根据采购方要求设计片头、标题，要求简洁大方、突出主题。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3.交互式微课展现形式为视频中可嵌入提问、测试、问答、视频、图片、网页链接、小游戏、公式等互动组件，让学习者直接与内容互动。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4.学习者可以通过点击、选择、填写等操作形式来进行学习。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5.交互式微课视频需要编辑字幕，且字幕需与交互式微课视频语音显示一致，字幕需符合国家标准规范、不得出现错别字、繁体字、异体字等，语音语速适中，不得与字幕错位显示。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▲</w:t>
            </w:r>
            <w:r>
              <w:rPr>
                <w:color w:val="000000"/>
                <w:sz w:val="24"/>
                <w:szCs w:val="24"/>
              </w:rPr>
              <w:t>6.提供至少两种交互式微课格式：HTML5（可上传到网站服务器或浏览器离线预览）、视频（可上传到视频网站，本地浏览等）等。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7.交互式微课可进行二次编辑制作，包含新建、编辑、删除、更新等，通用的数据层服务器提供动态数据支持。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●</w:t>
            </w:r>
            <w:r>
              <w:rPr>
                <w:color w:val="000000"/>
                <w:sz w:val="24"/>
                <w:szCs w:val="24"/>
              </w:rPr>
              <w:t>8.用户设置逻辑分支时可以自由地选择上传多种形式的资源，包括：视频，图片，以及360全景照片等；上传的资源支持同类型资源删除替换；上传完素材后，可以编辑素材的设置问题，并设置正确流程走向，对流程进行引导选择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●</w:t>
            </w:r>
            <w:r>
              <w:rPr>
                <w:color w:val="000000"/>
                <w:sz w:val="24"/>
                <w:szCs w:val="24"/>
              </w:rPr>
              <w:t>9.在交互式微课的视频等素材中可添加、删除、修改流程和拓展；图片素材可设置持续时间、PPT模式、添加音乐、添加语音讲解、设置时长自适应音频以及可设置图片能否跳过。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●</w:t>
            </w:r>
            <w:r>
              <w:rPr>
                <w:color w:val="000000"/>
                <w:sz w:val="24"/>
                <w:szCs w:val="24"/>
              </w:rPr>
              <w:t>10.编辑360全景视频素材时，可设置场景分组，并支持场景名称、上传的资源名称重命名。每个场景分组可上传全景视频资源，可对每个全景视频添加热点。可通过设置启动360全景视频开场，及编辑初始视角；可添加音乐以及语音讲解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●</w:t>
            </w:r>
            <w:r>
              <w:rPr>
                <w:color w:val="000000"/>
                <w:sz w:val="24"/>
                <w:szCs w:val="24"/>
              </w:rPr>
              <w:t>11.在无需专用客户端支持、无需安装任何插件的情况下，提供登录账号，用户直接使用浏览器网页打开并登录后即可完成交互式微课的编辑、保存、预览等。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▲</w:t>
            </w:r>
            <w:r>
              <w:rPr>
                <w:color w:val="000000"/>
                <w:sz w:val="24"/>
                <w:szCs w:val="24"/>
              </w:rPr>
              <w:t>12.交互式微课支持跨平台运行，无论是苹果macOS系统，还是微软Windows系统，只要使用推荐的浏览器即可。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 w:val="0"/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说明：</w:t>
            </w:r>
          </w:p>
          <w:p>
            <w:pPr>
              <w:wordWrap w:val="0"/>
              <w:spacing w:line="360" w:lineRule="auto"/>
              <w:ind w:firstLine="787" w:firstLineChars="328"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1.带“▲”号条款为重要指标。</w:t>
            </w:r>
          </w:p>
          <w:p>
            <w:pPr>
              <w:wordWrap w:val="0"/>
              <w:spacing w:line="360" w:lineRule="auto"/>
              <w:ind w:firstLine="787" w:firstLineChars="328"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2.带“●”号条款为视频演示指标。</w:t>
            </w:r>
          </w:p>
          <w:p>
            <w:pPr>
              <w:wordWrap w:val="0"/>
              <w:spacing w:line="360" w:lineRule="auto"/>
              <w:ind w:firstLine="787" w:firstLineChars="328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3.未带“▲”“●”号条款为一般指标。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rPr>
          <w:rFonts w:hint="eastAsia" w:ascii="宋体" w:hAnsi="宋体" w:cs="宋体"/>
          <w:color w:val="auto"/>
          <w:kern w:val="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</w:docVars>
  <w:rsids>
    <w:rsidRoot w:val="5D341FB8"/>
    <w:rsid w:val="029B0A3F"/>
    <w:rsid w:val="03095E2C"/>
    <w:rsid w:val="05DC6105"/>
    <w:rsid w:val="068A2D1B"/>
    <w:rsid w:val="090B0DF1"/>
    <w:rsid w:val="0B364926"/>
    <w:rsid w:val="0C4D06FA"/>
    <w:rsid w:val="0EF63B6F"/>
    <w:rsid w:val="167452C7"/>
    <w:rsid w:val="17FC77D2"/>
    <w:rsid w:val="200E3254"/>
    <w:rsid w:val="27205F86"/>
    <w:rsid w:val="27B7416D"/>
    <w:rsid w:val="33F74FDC"/>
    <w:rsid w:val="3DD27DE6"/>
    <w:rsid w:val="440F5429"/>
    <w:rsid w:val="4423714B"/>
    <w:rsid w:val="57273938"/>
    <w:rsid w:val="5B513A37"/>
    <w:rsid w:val="5D341FB8"/>
    <w:rsid w:val="614A1591"/>
    <w:rsid w:val="62D434FE"/>
    <w:rsid w:val="65960FF5"/>
    <w:rsid w:val="67E10E76"/>
    <w:rsid w:val="72341053"/>
    <w:rsid w:val="72BD18A4"/>
    <w:rsid w:val="72C179B4"/>
    <w:rsid w:val="76387C33"/>
    <w:rsid w:val="78F363A7"/>
    <w:rsid w:val="79B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0" w:beforeLines="20" w:after="20" w:afterLines="20"/>
      <w:outlineLvl w:val="1"/>
    </w:pPr>
    <w:rPr>
      <w:rFonts w:ascii="Arial" w:hAnsi="Arial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3094</Words>
  <Characters>3349</Characters>
  <Lines>0</Lines>
  <Paragraphs>0</Paragraphs>
  <TotalTime>2</TotalTime>
  <ScaleCrop>false</ScaleCrop>
  <LinksUpToDate>false</LinksUpToDate>
  <CharactersWithSpaces>3356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2023-12-22T08:22:00Z</dcterms:created>
  <dc:creator>刘睿瑶</dc:creator>
  <cp:lastModifiedBy>刘睿瑶</cp:lastModifiedBy>
  <dcterms:modified xsi:type="dcterms:W3CDTF">2023-12-22T08:25:09Z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FB9BE775DBBF4E3C899931FFD537D64C</vt:lpwstr>
  </property>
</Properties>
</file>