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150" w:afterAutospacing="0" w:line="360" w:lineRule="atLeast"/>
        <w:ind w:right="0"/>
        <w:rPr>
          <w:rFonts w:hint="eastAsia" w:ascii="仿宋" w:hAnsi="仿宋" w:eastAsia="仿宋" w:cs="仿宋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275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报价（小写）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商贸旅游系四川省吴长清中式烹调技能大师工作室装修项目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4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656"/>
              </w:tabs>
              <w:spacing w:before="0" w:beforeAutospacing="0" w:after="150" w:afterAutospacing="0" w:line="360" w:lineRule="atLeast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备注：若报价大小写不一致，以大写为准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4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656"/>
              </w:tabs>
              <w:spacing w:before="0" w:beforeAutospacing="0" w:after="150" w:afterAutospacing="0" w:line="360" w:lineRule="atLeast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说明：报价包括完成本项目所需的劳务、材料、设备机械、管理、保险、税费、利润等与此项目相关的一切费用。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44893E71"/>
    <w:rsid w:val="44893E71"/>
    <w:rsid w:val="7487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2022-07-01T01:54:00Z</dcterms:created>
  <dc:creator>KO陌SER</dc:creator>
  <cp:lastModifiedBy>KO陌SER</cp:lastModifiedBy>
  <dcterms:modified xsi:type="dcterms:W3CDTF">2022-07-01T01:57:06Z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419F5467C2ED4D5DA30D9B44EC663650</vt:lpwstr>
  </property>
</Properties>
</file>