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ED79" w14:textId="6348E547" w:rsidR="00085D11" w:rsidRDefault="0007451D" w:rsidP="0007451D">
      <w:pPr>
        <w:pStyle w:val="2"/>
      </w:pPr>
      <w:r>
        <w:rPr>
          <w:rFonts w:hint="eastAsia"/>
        </w:rPr>
        <w:t xml:space="preserve">附件二 </w:t>
      </w:r>
      <w:r>
        <w:t>采购清单与技术参数</w:t>
      </w:r>
    </w:p>
    <w:tbl>
      <w:tblPr>
        <w:tblW w:w="8895" w:type="dxa"/>
        <w:jc w:val="center"/>
        <w:tblLayout w:type="fixed"/>
        <w:tblLook w:val="04A0" w:firstRow="1" w:lastRow="0" w:firstColumn="1" w:lastColumn="0" w:noHBand="0" w:noVBand="1"/>
      </w:tblPr>
      <w:tblGrid>
        <w:gridCol w:w="1141"/>
        <w:gridCol w:w="2963"/>
        <w:gridCol w:w="4791"/>
      </w:tblGrid>
      <w:tr w:rsidR="0007451D" w14:paraId="3DFBECED" w14:textId="77777777" w:rsidTr="0007451D">
        <w:trPr>
          <w:trHeight w:val="880"/>
          <w:jc w:val="center"/>
        </w:trPr>
        <w:tc>
          <w:tcPr>
            <w:tcW w:w="810" w:type="dxa"/>
            <w:tcBorders>
              <w:top w:val="single" w:sz="4" w:space="0" w:color="auto"/>
              <w:left w:val="single" w:sz="4" w:space="0" w:color="auto"/>
              <w:bottom w:val="single" w:sz="4" w:space="0" w:color="auto"/>
              <w:right w:val="single" w:sz="4" w:space="0" w:color="auto"/>
            </w:tcBorders>
            <w:vAlign w:val="center"/>
            <w:hideMark/>
          </w:tcPr>
          <w:p w14:paraId="3F940D4E" w14:textId="77777777" w:rsidR="0007451D" w:rsidRDefault="0007451D">
            <w:pPr>
              <w:widowControl/>
              <w:spacing w:line="432" w:lineRule="auto"/>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序号</w:t>
            </w:r>
          </w:p>
        </w:tc>
        <w:tc>
          <w:tcPr>
            <w:tcW w:w="2104" w:type="dxa"/>
            <w:tcBorders>
              <w:top w:val="single" w:sz="4" w:space="0" w:color="auto"/>
              <w:left w:val="nil"/>
              <w:bottom w:val="single" w:sz="4" w:space="0" w:color="auto"/>
              <w:right w:val="single" w:sz="4" w:space="0" w:color="auto"/>
            </w:tcBorders>
            <w:vAlign w:val="center"/>
            <w:hideMark/>
          </w:tcPr>
          <w:p w14:paraId="2DCF456D" w14:textId="77777777" w:rsidR="0007451D" w:rsidRDefault="0007451D">
            <w:pPr>
              <w:widowControl/>
              <w:spacing w:line="432" w:lineRule="auto"/>
              <w:jc w:val="center"/>
              <w:rPr>
                <w:rFonts w:ascii="仿宋_GB2312" w:eastAsia="仿宋_GB2312" w:hAnsi="仿宋_GB2312" w:cs="仿宋_GB2312" w:hint="eastAsia"/>
                <w:b/>
                <w:kern w:val="0"/>
                <w:sz w:val="24"/>
                <w:szCs w:val="24"/>
              </w:rPr>
            </w:pPr>
            <w:r>
              <w:rPr>
                <w:rFonts w:ascii="仿宋_GB2312" w:eastAsia="仿宋_GB2312" w:hAnsi="仿宋_GB2312" w:cs="仿宋_GB2312" w:hint="eastAsia"/>
                <w:b/>
                <w:kern w:val="0"/>
                <w:sz w:val="24"/>
                <w:szCs w:val="24"/>
              </w:rPr>
              <w:t>名称</w:t>
            </w:r>
          </w:p>
        </w:tc>
        <w:tc>
          <w:tcPr>
            <w:tcW w:w="3402" w:type="dxa"/>
            <w:tcBorders>
              <w:top w:val="single" w:sz="4" w:space="0" w:color="auto"/>
              <w:left w:val="nil"/>
              <w:bottom w:val="single" w:sz="4" w:space="0" w:color="auto"/>
              <w:right w:val="single" w:sz="4" w:space="0" w:color="auto"/>
            </w:tcBorders>
            <w:vAlign w:val="center"/>
            <w:hideMark/>
          </w:tcPr>
          <w:p w14:paraId="03A72325" w14:textId="77777777" w:rsidR="0007451D" w:rsidRDefault="0007451D">
            <w:pPr>
              <w:widowControl/>
              <w:spacing w:line="432" w:lineRule="auto"/>
              <w:jc w:val="center"/>
              <w:rPr>
                <w:rFonts w:ascii="仿宋_GB2312" w:eastAsia="仿宋_GB2312" w:hAnsi="仿宋_GB2312" w:cs="仿宋_GB2312" w:hint="eastAsia"/>
                <w:b/>
                <w:kern w:val="0"/>
                <w:sz w:val="24"/>
                <w:szCs w:val="24"/>
              </w:rPr>
            </w:pPr>
            <w:r>
              <w:rPr>
                <w:rFonts w:ascii="仿宋_GB2312" w:eastAsia="仿宋_GB2312" w:hAnsi="仿宋_GB2312" w:cs="仿宋_GB2312" w:hint="eastAsia"/>
                <w:b/>
                <w:kern w:val="0"/>
                <w:sz w:val="24"/>
                <w:szCs w:val="24"/>
              </w:rPr>
              <w:t>技术参数配置及要求</w:t>
            </w:r>
          </w:p>
        </w:tc>
      </w:tr>
      <w:tr w:rsidR="0007451D" w14:paraId="105EA0C7" w14:textId="77777777" w:rsidTr="0007451D">
        <w:trPr>
          <w:trHeight w:val="392"/>
          <w:jc w:val="center"/>
        </w:trPr>
        <w:tc>
          <w:tcPr>
            <w:tcW w:w="810" w:type="dxa"/>
            <w:tcBorders>
              <w:top w:val="nil"/>
              <w:left w:val="single" w:sz="4" w:space="0" w:color="auto"/>
              <w:bottom w:val="single" w:sz="4" w:space="0" w:color="auto"/>
              <w:right w:val="single" w:sz="4" w:space="0" w:color="auto"/>
            </w:tcBorders>
            <w:vAlign w:val="center"/>
            <w:hideMark/>
          </w:tcPr>
          <w:p w14:paraId="04BD1991" w14:textId="77777777" w:rsidR="0007451D" w:rsidRDefault="0007451D">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2104" w:type="dxa"/>
            <w:tcBorders>
              <w:top w:val="nil"/>
              <w:left w:val="nil"/>
              <w:bottom w:val="single" w:sz="4" w:space="0" w:color="auto"/>
              <w:right w:val="single" w:sz="4" w:space="0" w:color="auto"/>
            </w:tcBorders>
            <w:vAlign w:val="center"/>
            <w:hideMark/>
          </w:tcPr>
          <w:p w14:paraId="658A7E81" w14:textId="77777777" w:rsidR="0007451D" w:rsidRDefault="0007451D">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《眉山职业技术学院高等职业教育质量年度报告（2024）》编撰服务</w:t>
            </w:r>
          </w:p>
        </w:tc>
        <w:tc>
          <w:tcPr>
            <w:tcW w:w="3402" w:type="dxa"/>
            <w:tcBorders>
              <w:top w:val="nil"/>
              <w:left w:val="nil"/>
              <w:bottom w:val="single" w:sz="4" w:space="0" w:color="auto"/>
              <w:right w:val="single" w:sz="4" w:space="0" w:color="auto"/>
            </w:tcBorders>
            <w:vAlign w:val="center"/>
            <w:hideMark/>
          </w:tcPr>
          <w:p w14:paraId="0D2408DD" w14:textId="77777777" w:rsidR="0007451D" w:rsidRDefault="0007451D">
            <w:pPr>
              <w:widowControl/>
              <w:adjustRightInd w:val="0"/>
              <w:snapToGrid w:val="0"/>
              <w:spacing w:line="400" w:lineRule="exact"/>
              <w:ind w:firstLineChars="200" w:firstLine="420"/>
              <w:jc w:val="left"/>
              <w:textAlignment w:val="baseline"/>
              <w:rPr>
                <w:rFonts w:ascii="黑体" w:eastAsia="黑体" w:hAnsi="黑体" w:cs="黑体" w:hint="eastAsia"/>
                <w:szCs w:val="21"/>
              </w:rPr>
            </w:pPr>
            <w:r>
              <w:rPr>
                <w:rFonts w:ascii="黑体" w:eastAsia="黑体" w:hAnsi="黑体" w:cs="黑体" w:hint="eastAsia"/>
                <w:szCs w:val="21"/>
              </w:rPr>
              <w:t>一、编制要求</w:t>
            </w:r>
          </w:p>
          <w:p w14:paraId="3A74AC46"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1.“年报”名称为“眉山职业技术学院职业教育质量年度报告（2024）”。</w:t>
            </w:r>
          </w:p>
          <w:p w14:paraId="2901D6CB"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2.年报须以第三人称编制，避免出现“我校”的表述。年报应全面体现学校在职业教育改革发展过程中的成绩、问题和对策。各部分内容要强化定量分析、数据支撑，体现年度增量、避免重复。</w:t>
            </w:r>
          </w:p>
          <w:p w14:paraId="4699E9A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3.年报文本由封面、内容真实性责任声明、目录、表目录、图目录、案例目录、正文、封底等构成。</w:t>
            </w:r>
          </w:p>
          <w:p w14:paraId="19A5CFEA" w14:textId="77777777" w:rsidR="0007451D" w:rsidRDefault="0007451D">
            <w:pPr>
              <w:pStyle w:val="a5"/>
              <w:adjustRightInd w:val="0"/>
              <w:snapToGrid w:val="0"/>
              <w:spacing w:before="0" w:beforeAutospacing="0" w:after="0" w:afterAutospacing="0" w:line="40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bCs/>
                <w:szCs w:val="21"/>
              </w:rPr>
              <w:t>4.</w:t>
            </w:r>
            <w:r>
              <w:rPr>
                <w:rFonts w:ascii="仿宋_GB2312" w:eastAsia="仿宋_GB2312" w:hAnsi="仿宋_GB2312" w:cs="仿宋_GB2312" w:hint="eastAsia"/>
                <w:szCs w:val="21"/>
              </w:rPr>
              <w:t>目录需为二级或三级目录。</w:t>
            </w:r>
          </w:p>
          <w:p w14:paraId="0925FD7B"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5.正文内容包含但不限于学校情况、人才培养、服务贡献、文化传承、国际合作、产教融合、发展保障、面临挑战等八个部分。每部分均要有支撑本部分内容的3-7张图片、3-7个数据分析图、3-7个数据分析表、3-7个典型案例。正文前应有前言，以说明编制目的、编制过程和年度特点或亮点。</w:t>
            </w:r>
          </w:p>
          <w:p w14:paraId="117A1760" w14:textId="77777777" w:rsidR="0007451D" w:rsidRDefault="0007451D">
            <w:pPr>
              <w:widowControl/>
              <w:adjustRightInd w:val="0"/>
              <w:snapToGrid w:val="0"/>
              <w:spacing w:line="400" w:lineRule="exact"/>
              <w:ind w:firstLineChars="200" w:firstLine="420"/>
              <w:jc w:val="left"/>
              <w:textAlignment w:val="baseline"/>
              <w:rPr>
                <w:rFonts w:ascii="黑体" w:eastAsia="黑体" w:hAnsi="黑体" w:cs="黑体" w:hint="eastAsia"/>
                <w:szCs w:val="21"/>
              </w:rPr>
            </w:pPr>
            <w:r>
              <w:rPr>
                <w:rFonts w:ascii="黑体" w:eastAsia="黑体" w:hAnsi="黑体" w:cs="黑体" w:hint="eastAsia"/>
                <w:szCs w:val="21"/>
              </w:rPr>
              <w:t>二、年报框架（可根据学校实际进行调整）</w:t>
            </w:r>
          </w:p>
          <w:p w14:paraId="13DF807D"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szCs w:val="21"/>
              </w:rPr>
            </w:pPr>
            <w:r>
              <w:rPr>
                <w:rFonts w:ascii="仿宋_GB2312" w:eastAsia="仿宋_GB2312" w:hAnsi="仿宋_GB2312" w:cs="仿宋_GB2312" w:hint="eastAsia"/>
                <w:b/>
                <w:bCs/>
                <w:szCs w:val="21"/>
              </w:rPr>
              <w:t>1.学校情况</w:t>
            </w:r>
          </w:p>
          <w:p w14:paraId="0051013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1.1学校概况。包括校名、办学性质、校园面积、资产等情况。</w:t>
            </w:r>
          </w:p>
          <w:p w14:paraId="3EA98C74"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1.2 学生情况。包括招生规模、在校生规模、毕业生规模、学生结构、巩固率、培训规模、学生体质测评合格率、学生文化基础课合格率等数据，及与上一年度相比的变化情况。</w:t>
            </w:r>
          </w:p>
          <w:p w14:paraId="097E0B52"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1.3教师队伍。包括教职员工总数、教职员工额定编制数、生师比、“双师型”教师数及比例、</w:t>
            </w:r>
            <w:r>
              <w:rPr>
                <w:rFonts w:ascii="仿宋_GB2312" w:eastAsia="仿宋_GB2312" w:hAnsi="仿宋_GB2312" w:cs="仿宋_GB2312" w:hint="eastAsia"/>
                <w:szCs w:val="21"/>
              </w:rPr>
              <w:lastRenderedPageBreak/>
              <w:t>兼职教师比例、专任教师数、专任教师本科以上学历比例、专任教师硕士以上学历比例、专任教师高级职称教师（副高及以上）比例、思想政治课专任教师数、德育管理人员数、教师工作室数、教学创新团队数、体育课专任教师数、美育课专任教师数等数据，及与上一年度相比的变化情况。</w:t>
            </w:r>
          </w:p>
          <w:p w14:paraId="43850E1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1.4设施设备。包括生均校园占地面积、生均校舍建筑面积、生</w:t>
            </w:r>
            <w:proofErr w:type="gramStart"/>
            <w:r>
              <w:rPr>
                <w:rFonts w:ascii="仿宋_GB2312" w:eastAsia="仿宋_GB2312" w:hAnsi="仿宋_GB2312" w:cs="仿宋_GB2312" w:hint="eastAsia"/>
                <w:szCs w:val="21"/>
              </w:rPr>
              <w:t>均教学</w:t>
            </w:r>
            <w:proofErr w:type="gramEnd"/>
            <w:r>
              <w:rPr>
                <w:rFonts w:ascii="仿宋_GB2312" w:eastAsia="仿宋_GB2312" w:hAnsi="仿宋_GB2312" w:cs="仿宋_GB2312" w:hint="eastAsia"/>
                <w:szCs w:val="21"/>
              </w:rPr>
              <w:t>仪器设备值、生均实训实习工位数、纸质图书数、电子图书数、校园网主干最大宽带等数据，及与上一年度相比的变化情况。</w:t>
            </w:r>
          </w:p>
          <w:p w14:paraId="627AAF98" w14:textId="77777777" w:rsidR="0007451D" w:rsidRDefault="0007451D">
            <w:pPr>
              <w:widowControl/>
              <w:adjustRightInd w:val="0"/>
              <w:snapToGrid w:val="0"/>
              <w:spacing w:line="400" w:lineRule="exact"/>
              <w:ind w:leftChars="150" w:left="315"/>
              <w:jc w:val="left"/>
              <w:textAlignment w:val="baseline"/>
              <w:rPr>
                <w:rFonts w:ascii="仿宋_GB2312" w:eastAsia="仿宋_GB2312" w:hAnsi="仿宋_GB2312" w:cs="仿宋_GB2312" w:hint="eastAsia"/>
                <w:b/>
                <w:bCs/>
                <w:szCs w:val="21"/>
              </w:rPr>
            </w:pPr>
            <w:r>
              <w:rPr>
                <w:rFonts w:ascii="仿宋_GB2312" w:eastAsia="仿宋_GB2312" w:hAnsi="仿宋_GB2312" w:cs="仿宋_GB2312" w:hint="eastAsia"/>
                <w:b/>
                <w:bCs/>
                <w:szCs w:val="21"/>
              </w:rPr>
              <w:t>2.人才培养</w:t>
            </w:r>
          </w:p>
          <w:p w14:paraId="17AF443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2.1党建引领。包括健全党建工作管理体制情况，推动德育和思想政治工作情况，加强党组织建设情况，党组织发挥政治核心作用情况等。</w:t>
            </w:r>
          </w:p>
          <w:p w14:paraId="39D9D930"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2.2立德树人。包括日常思想政治教育、理想信念主题教育、爱国主义教育、心理健康教育、资助育人、德育量化考核等实施情况；校园文化活动、社会实践活动、志愿服务活动开展情况，社团建设情况、团组织学生会建设及活动等方面。</w:t>
            </w:r>
          </w:p>
          <w:p w14:paraId="756DD808"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2.3 就业创业。包括就业（含升学）人数、分专业就业率、对口就业率、初次就业起薪、在规模以上企业就业人数、在中小</w:t>
            </w:r>
            <w:proofErr w:type="gramStart"/>
            <w:r>
              <w:rPr>
                <w:rFonts w:ascii="仿宋_GB2312" w:eastAsia="仿宋_GB2312" w:hAnsi="仿宋_GB2312" w:cs="仿宋_GB2312" w:hint="eastAsia"/>
                <w:szCs w:val="21"/>
              </w:rPr>
              <w:t>微企业</w:t>
            </w:r>
            <w:proofErr w:type="gramEnd"/>
            <w:r>
              <w:rPr>
                <w:rFonts w:ascii="仿宋_GB2312" w:eastAsia="仿宋_GB2312" w:hAnsi="仿宋_GB2312" w:cs="仿宋_GB2312" w:hint="eastAsia"/>
                <w:szCs w:val="21"/>
              </w:rPr>
              <w:t>就业人数、就业单位对毕业生职业素养的满意度、就业单位对毕业生职业技能的满意度等数据及与上一年度相比的变化情况；毕业生创业比例、学生开展创新创业活动、参加创新创业竞赛获奖等情况。</w:t>
            </w:r>
          </w:p>
          <w:p w14:paraId="1205A3B2"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2.4专业建设。包括专业设置、专业结构调整、人才培养方案调整等情况。</w:t>
            </w:r>
          </w:p>
          <w:p w14:paraId="7D658FA5"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2.5课程建设。包括学校公共基础课开设、课程建设等情况。</w:t>
            </w:r>
          </w:p>
          <w:p w14:paraId="3C449EA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2.6教学改革。包括人才培养模式改革、“三教”改革等情况。</w:t>
            </w:r>
          </w:p>
          <w:p w14:paraId="2F886F3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2.7教材建设。包括教材选用、教材编写等情况。</w:t>
            </w:r>
          </w:p>
          <w:p w14:paraId="201FBAC5"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2.8数字化教学资源建设。包括信息化教学、虚拟仿真实训、专业教学资源库等建设与应用情况。</w:t>
            </w:r>
          </w:p>
          <w:p w14:paraId="7C4CE1F8"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2.9师资队伍建设。包括教师培养培训、工作室数、教学创新团队数、教师参加教学能力大赛获奖以及其他技能大赛获奖等情况。</w:t>
            </w:r>
          </w:p>
          <w:p w14:paraId="2C85CF1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2.10人才培养效果。包括学生素质（</w:t>
            </w:r>
            <w:proofErr w:type="gramStart"/>
            <w:r>
              <w:rPr>
                <w:rFonts w:ascii="仿宋_GB2312" w:eastAsia="仿宋_GB2312" w:hAnsi="仿宋_GB2312" w:cs="仿宋_GB2312" w:hint="eastAsia"/>
                <w:szCs w:val="21"/>
              </w:rPr>
              <w:t>含思想</w:t>
            </w:r>
            <w:proofErr w:type="gramEnd"/>
            <w:r>
              <w:rPr>
                <w:rFonts w:ascii="仿宋_GB2312" w:eastAsia="仿宋_GB2312" w:hAnsi="仿宋_GB2312" w:cs="仿宋_GB2312" w:hint="eastAsia"/>
                <w:szCs w:val="21"/>
              </w:rPr>
              <w:t>政治状况、文化课合格率、专业技能合格率、体质测评合格率、毕业率、职业技能等级证书（</w:t>
            </w:r>
            <w:proofErr w:type="gramStart"/>
            <w:r>
              <w:rPr>
                <w:rFonts w:ascii="仿宋_GB2312" w:eastAsia="仿宋_GB2312" w:hAnsi="仿宋_GB2312" w:cs="仿宋_GB2312" w:hint="eastAsia"/>
                <w:szCs w:val="21"/>
              </w:rPr>
              <w:t>含职业</w:t>
            </w:r>
            <w:proofErr w:type="gramEnd"/>
            <w:r>
              <w:rPr>
                <w:rFonts w:ascii="仿宋_GB2312" w:eastAsia="仿宋_GB2312" w:hAnsi="仿宋_GB2312" w:cs="仿宋_GB2312" w:hint="eastAsia"/>
                <w:szCs w:val="21"/>
              </w:rPr>
              <w:t>资格证书）获取人数及比例等），学生获奖（</w:t>
            </w:r>
            <w:proofErr w:type="gramStart"/>
            <w:r>
              <w:rPr>
                <w:rFonts w:ascii="仿宋_GB2312" w:eastAsia="仿宋_GB2312" w:hAnsi="仿宋_GB2312" w:cs="仿宋_GB2312" w:hint="eastAsia"/>
                <w:szCs w:val="21"/>
              </w:rPr>
              <w:t>含学生</w:t>
            </w:r>
            <w:proofErr w:type="gramEnd"/>
            <w:r>
              <w:rPr>
                <w:rFonts w:ascii="仿宋_GB2312" w:eastAsia="仿宋_GB2312" w:hAnsi="仿宋_GB2312" w:cs="仿宋_GB2312" w:hint="eastAsia"/>
                <w:szCs w:val="21"/>
              </w:rPr>
              <w:t>获得市级以上三好学生、优秀学生干部以及学生参加职业技能大赛、文化体育艺术竞赛获奖等情况），学生在校体验（</w:t>
            </w:r>
            <w:proofErr w:type="gramStart"/>
            <w:r>
              <w:rPr>
                <w:rFonts w:ascii="仿宋_GB2312" w:eastAsia="仿宋_GB2312" w:hAnsi="仿宋_GB2312" w:cs="仿宋_GB2312" w:hint="eastAsia"/>
                <w:szCs w:val="21"/>
              </w:rPr>
              <w:t>含理论</w:t>
            </w:r>
            <w:proofErr w:type="gramEnd"/>
            <w:r>
              <w:rPr>
                <w:rFonts w:ascii="仿宋_GB2312" w:eastAsia="仿宋_GB2312" w:hAnsi="仿宋_GB2312" w:cs="仿宋_GB2312" w:hint="eastAsia"/>
                <w:szCs w:val="21"/>
              </w:rPr>
              <w:t>学习满意度、专业学习满意度、实习实</w:t>
            </w:r>
            <w:proofErr w:type="gramStart"/>
            <w:r>
              <w:rPr>
                <w:rFonts w:ascii="仿宋_GB2312" w:eastAsia="仿宋_GB2312" w:hAnsi="仿宋_GB2312" w:cs="仿宋_GB2312" w:hint="eastAsia"/>
                <w:szCs w:val="21"/>
              </w:rPr>
              <w:t>训满意</w:t>
            </w:r>
            <w:proofErr w:type="gramEnd"/>
            <w:r>
              <w:rPr>
                <w:rFonts w:ascii="仿宋_GB2312" w:eastAsia="仿宋_GB2312" w:hAnsi="仿宋_GB2312" w:cs="仿宋_GB2312" w:hint="eastAsia"/>
                <w:szCs w:val="21"/>
              </w:rPr>
              <w:t>度、校园文化与社团活动满意度、生活满意度、校园安全满意度、毕业生对学校满意度等），学生升学情况（</w:t>
            </w:r>
            <w:proofErr w:type="gramStart"/>
            <w:r>
              <w:rPr>
                <w:rFonts w:ascii="仿宋_GB2312" w:eastAsia="仿宋_GB2312" w:hAnsi="仿宋_GB2312" w:cs="仿宋_GB2312" w:hint="eastAsia"/>
                <w:szCs w:val="21"/>
              </w:rPr>
              <w:t>含普通</w:t>
            </w:r>
            <w:proofErr w:type="gramEnd"/>
            <w:r>
              <w:rPr>
                <w:rFonts w:ascii="仿宋_GB2312" w:eastAsia="仿宋_GB2312" w:hAnsi="仿宋_GB2312" w:cs="仿宋_GB2312" w:hint="eastAsia"/>
                <w:szCs w:val="21"/>
              </w:rPr>
              <w:t>专升本升入本科院校的人数、其他升学人数（含留学、成人教育、自学考试）等情况）。</w:t>
            </w:r>
          </w:p>
          <w:p w14:paraId="2466AA0E"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3.服务贡献</w:t>
            </w:r>
          </w:p>
          <w:p w14:paraId="1196A8DD"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3.1服务行业企业。包括面向行业企业的培训服务、技术服务等情况。</w:t>
            </w:r>
          </w:p>
          <w:p w14:paraId="5BD8EE97"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3.2服务地方发展。包括面向地方政府部门的培训服务、技术服务、东西部协作、区域内校际帮扶等情况。</w:t>
            </w:r>
          </w:p>
          <w:p w14:paraId="2C45FB90"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3.3服务乡村振兴。包括面向乡村振兴的培训服务、技术服务、对口帮扶等情况。</w:t>
            </w:r>
          </w:p>
          <w:p w14:paraId="13D07B96"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3.4服务地方社区。包括面向地方社区的志愿服务。</w:t>
            </w:r>
          </w:p>
          <w:p w14:paraId="4021ECC7"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4.文化传承</w:t>
            </w:r>
          </w:p>
          <w:p w14:paraId="70856C7A"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4.1传统文化课程开设。包括中华优秀传统文化、社会主义先进文化、革命文化等课程开设情况及开设效果。</w:t>
            </w:r>
          </w:p>
          <w:p w14:paraId="499F6A86"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4.2文化传承与创新。包括文化传承基地建设、东</w:t>
            </w:r>
            <w:proofErr w:type="gramStart"/>
            <w:r>
              <w:rPr>
                <w:rFonts w:ascii="仿宋_GB2312" w:eastAsia="仿宋_GB2312" w:hAnsi="仿宋_GB2312" w:cs="仿宋_GB2312" w:hint="eastAsia"/>
                <w:kern w:val="0"/>
                <w:szCs w:val="21"/>
              </w:rPr>
              <w:t>坡文化</w:t>
            </w:r>
            <w:proofErr w:type="gramEnd"/>
            <w:r>
              <w:rPr>
                <w:rFonts w:ascii="仿宋_GB2312" w:eastAsia="仿宋_GB2312" w:hAnsi="仿宋_GB2312" w:cs="仿宋_GB2312" w:hint="eastAsia"/>
                <w:kern w:val="0"/>
                <w:szCs w:val="21"/>
              </w:rPr>
              <w:t>传承活动、非</w:t>
            </w:r>
            <w:proofErr w:type="gramStart"/>
            <w:r>
              <w:rPr>
                <w:rFonts w:ascii="仿宋_GB2312" w:eastAsia="仿宋_GB2312" w:hAnsi="仿宋_GB2312" w:cs="仿宋_GB2312" w:hint="eastAsia"/>
                <w:kern w:val="0"/>
                <w:szCs w:val="21"/>
              </w:rPr>
              <w:t>遗项目</w:t>
            </w:r>
            <w:proofErr w:type="gramEnd"/>
            <w:r>
              <w:rPr>
                <w:rFonts w:ascii="仿宋_GB2312" w:eastAsia="仿宋_GB2312" w:hAnsi="仿宋_GB2312" w:cs="仿宋_GB2312" w:hint="eastAsia"/>
                <w:kern w:val="0"/>
                <w:szCs w:val="21"/>
              </w:rPr>
              <w:t>创新与推广、面向地方社区的文化传承服务、中华优秀传统文化相关的科学研究等。</w:t>
            </w:r>
          </w:p>
          <w:p w14:paraId="03C6673B"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5.国际合作</w:t>
            </w:r>
          </w:p>
          <w:p w14:paraId="6D730006"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5.1留学生培养质量。包括留学生数量、国家分布等情况。</w:t>
            </w:r>
          </w:p>
          <w:p w14:paraId="6FD4CBDB"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5.2合作办学质量。包括国际合作科研平台数等情况。</w:t>
            </w:r>
          </w:p>
          <w:p w14:paraId="519D7D21"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5.3开发标准质量。包括开发并被国（境）</w:t>
            </w:r>
            <w:proofErr w:type="gramStart"/>
            <w:r>
              <w:rPr>
                <w:rFonts w:ascii="仿宋_GB2312" w:eastAsia="仿宋_GB2312" w:hAnsi="仿宋_GB2312" w:cs="仿宋_GB2312" w:hint="eastAsia"/>
                <w:kern w:val="0"/>
                <w:szCs w:val="21"/>
              </w:rPr>
              <w:t>外采用</w:t>
            </w:r>
            <w:proofErr w:type="gramEnd"/>
            <w:r>
              <w:rPr>
                <w:rFonts w:ascii="仿宋_GB2312" w:eastAsia="仿宋_GB2312" w:hAnsi="仿宋_GB2312" w:cs="仿宋_GB2312" w:hint="eastAsia"/>
                <w:kern w:val="0"/>
                <w:szCs w:val="21"/>
              </w:rPr>
              <w:t>的专业教学标准数量、课程标准数量等情况。</w:t>
            </w:r>
          </w:p>
          <w:p w14:paraId="21D63C7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5.4国（境）</w:t>
            </w:r>
            <w:proofErr w:type="gramStart"/>
            <w:r>
              <w:rPr>
                <w:rFonts w:ascii="仿宋_GB2312" w:eastAsia="仿宋_GB2312" w:hAnsi="仿宋_GB2312" w:cs="仿宋_GB2312" w:hint="eastAsia"/>
                <w:kern w:val="0"/>
                <w:szCs w:val="21"/>
              </w:rPr>
              <w:t>外独立</w:t>
            </w:r>
            <w:proofErr w:type="gramEnd"/>
            <w:r>
              <w:rPr>
                <w:rFonts w:ascii="仿宋_GB2312" w:eastAsia="仿宋_GB2312" w:hAnsi="仿宋_GB2312" w:cs="仿宋_GB2312" w:hint="eastAsia"/>
                <w:kern w:val="0"/>
                <w:szCs w:val="21"/>
              </w:rPr>
              <w:t>办学质量。包括国（境）外建立办学机构、开展办学等情况</w:t>
            </w:r>
          </w:p>
          <w:p w14:paraId="32DAAD7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5.5助力“一带一路”建设质量。包括在校生服务“走出去”企业国（境）外实习实践及人数、毕业生国（境）外工作人数及情况、在国（境）外组织担任职务的专任教师人数等情况。</w:t>
            </w:r>
          </w:p>
          <w:p w14:paraId="0A3EBC2E"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5.6提升学生国际化素养质量。包括开展学生国际化交流等情况。</w:t>
            </w:r>
          </w:p>
          <w:p w14:paraId="23C5D86D"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6.产教融合</w:t>
            </w:r>
          </w:p>
          <w:p w14:paraId="780C8B6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6.1校企合作。包括校企合作模式及成效、校企合作典型生产实践项目建设情况、现代学徒</w:t>
            </w:r>
            <w:proofErr w:type="gramStart"/>
            <w:r>
              <w:rPr>
                <w:rFonts w:ascii="仿宋_GB2312" w:eastAsia="仿宋_GB2312" w:hAnsi="仿宋_GB2312" w:cs="仿宋_GB2312" w:hint="eastAsia"/>
                <w:kern w:val="0"/>
                <w:szCs w:val="21"/>
              </w:rPr>
              <w:t>制推进</w:t>
            </w:r>
            <w:proofErr w:type="gramEnd"/>
            <w:r>
              <w:rPr>
                <w:rFonts w:ascii="仿宋_GB2312" w:eastAsia="仿宋_GB2312" w:hAnsi="仿宋_GB2312" w:cs="仿宋_GB2312" w:hint="eastAsia"/>
                <w:kern w:val="0"/>
                <w:szCs w:val="21"/>
              </w:rPr>
              <w:t>情况、校企合作企业数、校企共建实习实训基地数、企业提供的实践教学设备总值、合作企业接收学生实习比例、生</w:t>
            </w:r>
            <w:proofErr w:type="gramStart"/>
            <w:r>
              <w:rPr>
                <w:rFonts w:ascii="仿宋_GB2312" w:eastAsia="仿宋_GB2312" w:hAnsi="仿宋_GB2312" w:cs="仿宋_GB2312" w:hint="eastAsia"/>
                <w:kern w:val="0"/>
                <w:szCs w:val="21"/>
              </w:rPr>
              <w:t>均企业</w:t>
            </w:r>
            <w:proofErr w:type="gramEnd"/>
            <w:r>
              <w:rPr>
                <w:rFonts w:ascii="仿宋_GB2312" w:eastAsia="仿宋_GB2312" w:hAnsi="仿宋_GB2312" w:cs="仿宋_GB2312" w:hint="eastAsia"/>
                <w:kern w:val="0"/>
                <w:szCs w:val="21"/>
              </w:rPr>
              <w:t>实习经费补贴、企业订单班学生所占比例等。</w:t>
            </w:r>
          </w:p>
          <w:p w14:paraId="144D35BB"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6.2产教融合。包括现代产业学院、职业教育联盟、</w:t>
            </w:r>
            <w:proofErr w:type="gramStart"/>
            <w:r>
              <w:rPr>
                <w:rFonts w:ascii="仿宋_GB2312" w:eastAsia="仿宋_GB2312" w:hAnsi="仿宋_GB2312" w:cs="仿宋_GB2312" w:hint="eastAsia"/>
                <w:kern w:val="0"/>
                <w:szCs w:val="21"/>
              </w:rPr>
              <w:t>市域产教</w:t>
            </w:r>
            <w:proofErr w:type="gramEnd"/>
            <w:r>
              <w:rPr>
                <w:rFonts w:ascii="仿宋_GB2312" w:eastAsia="仿宋_GB2312" w:hAnsi="仿宋_GB2312" w:cs="仿宋_GB2312" w:hint="eastAsia"/>
                <w:kern w:val="0"/>
                <w:szCs w:val="21"/>
              </w:rPr>
              <w:t>联合体、行业产教融合共同体、开放型区域产教融合实践中心等建设情况及效果。</w:t>
            </w:r>
          </w:p>
          <w:p w14:paraId="711300B3"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6.3“1+X”证书试点。包括推进“1+X”证书试点的方法举措、“1+X”证书试点的专业数、学生培训报名数、考试通过率等。</w:t>
            </w:r>
          </w:p>
          <w:p w14:paraId="010ED4F5"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7.发展保障</w:t>
            </w:r>
          </w:p>
          <w:p w14:paraId="310C6D48"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7.1改善办学基本条件。包括校园基础建设、校园环境与文化建设、教学条件建设等。</w:t>
            </w:r>
          </w:p>
          <w:p w14:paraId="44C9386D"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7.2学校治理。包括教学管理、学生管理、财务管理、后勤管理、安全管理、科研管理和管理队伍建设、管理信息化水平等规范管理情况。</w:t>
            </w:r>
          </w:p>
          <w:p w14:paraId="768687B2"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7.3质量保证。包括质量保证体系建设与运行情况、诊断与改进、质量文化等。</w:t>
            </w:r>
          </w:p>
          <w:p w14:paraId="2210B4F2"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7.4经费保障。包括政策性经费落实、年生</w:t>
            </w:r>
            <w:proofErr w:type="gramStart"/>
            <w:r>
              <w:rPr>
                <w:rFonts w:ascii="仿宋_GB2312" w:eastAsia="仿宋_GB2312" w:hAnsi="仿宋_GB2312" w:cs="仿宋_GB2312" w:hint="eastAsia"/>
                <w:kern w:val="0"/>
                <w:szCs w:val="21"/>
              </w:rPr>
              <w:t>均财政</w:t>
            </w:r>
            <w:proofErr w:type="gramEnd"/>
            <w:r>
              <w:rPr>
                <w:rFonts w:ascii="仿宋_GB2312" w:eastAsia="仿宋_GB2312" w:hAnsi="仿宋_GB2312" w:cs="仿宋_GB2312" w:hint="eastAsia"/>
                <w:kern w:val="0"/>
                <w:szCs w:val="21"/>
              </w:rPr>
              <w:t>拨款、项目投入、生</w:t>
            </w:r>
            <w:proofErr w:type="gramStart"/>
            <w:r>
              <w:rPr>
                <w:rFonts w:ascii="仿宋_GB2312" w:eastAsia="仿宋_GB2312" w:hAnsi="仿宋_GB2312" w:cs="仿宋_GB2312" w:hint="eastAsia"/>
                <w:kern w:val="0"/>
                <w:szCs w:val="21"/>
              </w:rPr>
              <w:t>均财政</w:t>
            </w:r>
            <w:proofErr w:type="gramEnd"/>
            <w:r>
              <w:rPr>
                <w:rFonts w:ascii="仿宋_GB2312" w:eastAsia="仿宋_GB2312" w:hAnsi="仿宋_GB2312" w:cs="仿宋_GB2312" w:hint="eastAsia"/>
                <w:kern w:val="0"/>
                <w:szCs w:val="21"/>
              </w:rPr>
              <w:t>专项补贴等情况。</w:t>
            </w:r>
          </w:p>
          <w:p w14:paraId="75FA765C"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8.面临挑战</w:t>
            </w:r>
          </w:p>
          <w:p w14:paraId="249BAE72"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针对人才培养中存在的问题，分析主要原因，提出解决问题的具体措施。</w:t>
            </w:r>
          </w:p>
          <w:p w14:paraId="03800B2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挑战1：</w:t>
            </w:r>
          </w:p>
          <w:p w14:paraId="6239AD4A"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挑战2：</w:t>
            </w:r>
          </w:p>
          <w:p w14:paraId="59B9D7F5"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挑战3：</w:t>
            </w:r>
          </w:p>
          <w:p w14:paraId="499EB74F"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附表</w:t>
            </w:r>
          </w:p>
          <w:p w14:paraId="68EB1B5A"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表1  计分卡</w:t>
            </w:r>
          </w:p>
          <w:p w14:paraId="1E853ABE"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表2  满意度调查表</w:t>
            </w:r>
          </w:p>
          <w:p w14:paraId="782B45D7"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表3  教学资源表</w:t>
            </w:r>
          </w:p>
          <w:p w14:paraId="2F233980"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表4  国际影响表</w:t>
            </w:r>
          </w:p>
          <w:p w14:paraId="7561A8A8"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表5  服务贡献表</w:t>
            </w:r>
          </w:p>
          <w:p w14:paraId="3E9027F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表6  落实政策表</w:t>
            </w:r>
          </w:p>
          <w:p w14:paraId="3B5A4783"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附件（请单独成册，不与年报共同编排）</w:t>
            </w:r>
          </w:p>
          <w:p w14:paraId="11762E15"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附件1 横向技术服务产生的经济效益一览表</w:t>
            </w:r>
          </w:p>
          <w:p w14:paraId="7DD285A9" w14:textId="77777777" w:rsidR="0007451D" w:rsidRDefault="0007451D">
            <w:pPr>
              <w:widowControl/>
              <w:adjustRightInd w:val="0"/>
              <w:snapToGrid w:val="0"/>
              <w:spacing w:line="400" w:lineRule="exact"/>
              <w:ind w:firstLineChars="200" w:firstLine="420"/>
              <w:jc w:val="left"/>
              <w:textAlignment w:val="baseline"/>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附件2 横向技术服务产生经济效益证明复印件</w:t>
            </w:r>
          </w:p>
        </w:tc>
      </w:tr>
    </w:tbl>
    <w:p w14:paraId="7E90C914" w14:textId="77777777" w:rsidR="0007451D" w:rsidRPr="0007451D" w:rsidRDefault="0007451D" w:rsidP="0007451D">
      <w:pPr>
        <w:rPr>
          <w:rFonts w:hint="eastAsia"/>
        </w:rPr>
      </w:pPr>
    </w:p>
    <w:sectPr w:rsidR="0007451D" w:rsidRPr="00074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1D"/>
    <w:rsid w:val="0007451D"/>
    <w:rsid w:val="0008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5B0E"/>
  <w15:chartTrackingRefBased/>
  <w15:docId w15:val="{1284F836-8411-4E14-8736-B24E2B04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451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745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51D"/>
    <w:rPr>
      <w:b/>
      <w:bCs/>
      <w:kern w:val="44"/>
      <w:sz w:val="44"/>
      <w:szCs w:val="44"/>
    </w:rPr>
  </w:style>
  <w:style w:type="paragraph" w:styleId="a3">
    <w:name w:val="Title"/>
    <w:basedOn w:val="a"/>
    <w:next w:val="a"/>
    <w:link w:val="a4"/>
    <w:uiPriority w:val="10"/>
    <w:qFormat/>
    <w:rsid w:val="0007451D"/>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07451D"/>
    <w:rPr>
      <w:rFonts w:asciiTheme="majorHAnsi" w:eastAsiaTheme="majorEastAsia" w:hAnsiTheme="majorHAnsi" w:cstheme="majorBidi"/>
      <w:b/>
      <w:bCs/>
      <w:sz w:val="32"/>
      <w:szCs w:val="32"/>
    </w:rPr>
  </w:style>
  <w:style w:type="character" w:customStyle="1" w:styleId="20">
    <w:name w:val="标题 2 字符"/>
    <w:basedOn w:val="a0"/>
    <w:link w:val="2"/>
    <w:uiPriority w:val="9"/>
    <w:rsid w:val="0007451D"/>
    <w:rPr>
      <w:rFonts w:asciiTheme="majorHAnsi" w:eastAsiaTheme="majorEastAsia" w:hAnsiTheme="majorHAnsi" w:cstheme="majorBidi"/>
      <w:b/>
      <w:bCs/>
      <w:sz w:val="32"/>
      <w:szCs w:val="32"/>
    </w:rPr>
  </w:style>
  <w:style w:type="paragraph" w:styleId="a5">
    <w:name w:val="Normal (Web)"/>
    <w:basedOn w:val="a"/>
    <w:uiPriority w:val="99"/>
    <w:semiHidden/>
    <w:unhideWhenUsed/>
    <w:qFormat/>
    <w:rsid w:val="0007451D"/>
    <w:pPr>
      <w:widowControl/>
      <w:spacing w:before="100" w:beforeAutospacing="1" w:after="100" w:afterAutospacing="1"/>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0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2023-12-06T02:43:00Z</dcterms:created>
  <dcterms:modified xsi:type="dcterms:W3CDTF">2023-12-06T02:44:00Z</dcterms:modified>
</cp:coreProperties>
</file>