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ascii="新宋体" w:hAnsi="新宋体" w:eastAsia="新宋体"/>
          <w:sz w:val="28"/>
          <w:szCs w:val="28"/>
        </w:rPr>
        <w:t>附件一</w:t>
      </w:r>
    </w:p>
    <w:p>
      <w:pPr>
        <w:pStyle w:val="2"/>
        <w:spacing w:after="0" w:line="360" w:lineRule="auto"/>
        <w:ind w:firstLine="562"/>
        <w:jc w:val="center"/>
        <w:rPr>
          <w:rFonts w:ascii="宋体" w:hAnsi="宋体"/>
          <w:b/>
          <w:sz w:val="28"/>
          <w:szCs w:val="28"/>
        </w:rPr>
      </w:pPr>
      <w:r>
        <w:rPr>
          <w:rFonts w:hint="eastAsia" w:ascii="宋体" w:hAnsi="宋体"/>
          <w:b/>
          <w:sz w:val="28"/>
          <w:szCs w:val="28"/>
        </w:rPr>
        <w:t>合同主要条款</w:t>
      </w:r>
    </w:p>
    <w:p>
      <w:pPr>
        <w:ind w:firstLine="562" w:firstLineChars="200"/>
        <w:rPr>
          <w:rFonts w:ascii="新宋体" w:hAnsi="新宋体" w:eastAsia="新宋体"/>
          <w:b/>
          <w:sz w:val="28"/>
          <w:szCs w:val="28"/>
        </w:rPr>
      </w:pPr>
      <w:r>
        <w:rPr>
          <w:rFonts w:hint="eastAsia" w:ascii="新宋体" w:hAnsi="新宋体" w:eastAsia="新宋体"/>
          <w:b/>
          <w:sz w:val="28"/>
          <w:szCs w:val="28"/>
        </w:rPr>
        <w:t>一、设备设施配置</w:t>
      </w:r>
    </w:p>
    <w:p>
      <w:pPr>
        <w:ind w:firstLine="560" w:firstLineChars="200"/>
        <w:jc w:val="left"/>
        <w:rPr>
          <w:rFonts w:ascii="新宋体" w:hAnsi="新宋体" w:eastAsia="新宋体"/>
          <w:sz w:val="28"/>
          <w:szCs w:val="28"/>
        </w:rPr>
      </w:pPr>
      <w:r>
        <w:rPr>
          <w:rFonts w:hint="eastAsia" w:ascii="新宋体" w:hAnsi="新宋体" w:eastAsia="新宋体"/>
          <w:sz w:val="28"/>
          <w:szCs w:val="28"/>
        </w:rPr>
        <w:t>1.学院提供现有基本打印、复印设备（详见下表：眉山职业技术学院文印室现有设备清单）；不足部分由承租方自行准备；企业负责设备的日常维护维修。如合同期中设备损坏，不能使用，由企业负责购买新设备替换，新设备产权归企业，旧设备交还学院。合同期满后将剩余设备移交给甲方。</w:t>
      </w:r>
    </w:p>
    <w:p>
      <w:pPr>
        <w:jc w:val="center"/>
        <w:rPr>
          <w:b/>
          <w:sz w:val="28"/>
          <w:szCs w:val="28"/>
        </w:rPr>
      </w:pPr>
      <w:r>
        <w:rPr>
          <w:rFonts w:hint="eastAsia"/>
          <w:b/>
          <w:sz w:val="28"/>
          <w:szCs w:val="28"/>
        </w:rPr>
        <w:t>眉山职业技术学院文印室现有设备清单</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7"/>
        <w:gridCol w:w="2107"/>
        <w:gridCol w:w="2401"/>
        <w:gridCol w:w="1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97" w:type="dxa"/>
            <w:vAlign w:val="top"/>
          </w:tcPr>
          <w:p>
            <w:pPr>
              <w:jc w:val="center"/>
              <w:rPr>
                <w:kern w:val="0"/>
                <w:sz w:val="20"/>
              </w:rPr>
            </w:pPr>
            <w:r>
              <w:rPr>
                <w:rFonts w:hint="eastAsia"/>
                <w:kern w:val="0"/>
                <w:sz w:val="20"/>
              </w:rPr>
              <w:t>名称</w:t>
            </w:r>
          </w:p>
        </w:tc>
        <w:tc>
          <w:tcPr>
            <w:tcW w:w="2107" w:type="dxa"/>
            <w:vAlign w:val="top"/>
          </w:tcPr>
          <w:p>
            <w:pPr>
              <w:jc w:val="center"/>
              <w:rPr>
                <w:kern w:val="0"/>
                <w:sz w:val="20"/>
              </w:rPr>
            </w:pPr>
            <w:r>
              <w:rPr>
                <w:rFonts w:hint="eastAsia"/>
                <w:kern w:val="0"/>
                <w:sz w:val="20"/>
              </w:rPr>
              <w:t>型号规格</w:t>
            </w:r>
          </w:p>
        </w:tc>
        <w:tc>
          <w:tcPr>
            <w:tcW w:w="2401" w:type="dxa"/>
            <w:vAlign w:val="top"/>
          </w:tcPr>
          <w:p>
            <w:pPr>
              <w:jc w:val="center"/>
              <w:rPr>
                <w:kern w:val="0"/>
                <w:sz w:val="20"/>
              </w:rPr>
            </w:pPr>
            <w:r>
              <w:rPr>
                <w:rFonts w:hint="eastAsia"/>
                <w:kern w:val="0"/>
                <w:sz w:val="20"/>
              </w:rPr>
              <w:t>单价（元）</w:t>
            </w:r>
          </w:p>
        </w:tc>
        <w:tc>
          <w:tcPr>
            <w:tcW w:w="1217" w:type="dxa"/>
            <w:tcBorders>
              <w:right w:val="single" w:color="auto" w:sz="4" w:space="0"/>
            </w:tcBorders>
            <w:vAlign w:val="top"/>
          </w:tcPr>
          <w:p>
            <w:pPr>
              <w:jc w:val="center"/>
              <w:rPr>
                <w:kern w:val="0"/>
                <w:sz w:val="20"/>
              </w:rPr>
            </w:pPr>
            <w:r>
              <w:rPr>
                <w:rFonts w:hint="eastAsia"/>
                <w:kern w:val="0"/>
                <w:sz w:val="20"/>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97" w:type="dxa"/>
            <w:vAlign w:val="top"/>
          </w:tcPr>
          <w:p>
            <w:pPr>
              <w:jc w:val="center"/>
              <w:rPr>
                <w:kern w:val="0"/>
                <w:sz w:val="20"/>
              </w:rPr>
            </w:pPr>
            <w:r>
              <w:rPr>
                <w:rFonts w:hint="eastAsia"/>
                <w:kern w:val="0"/>
                <w:sz w:val="20"/>
              </w:rPr>
              <w:t>一体机</w:t>
            </w:r>
          </w:p>
        </w:tc>
        <w:tc>
          <w:tcPr>
            <w:tcW w:w="2107" w:type="dxa"/>
            <w:vAlign w:val="top"/>
          </w:tcPr>
          <w:p>
            <w:pPr>
              <w:jc w:val="center"/>
              <w:rPr>
                <w:kern w:val="0"/>
                <w:sz w:val="20"/>
              </w:rPr>
            </w:pPr>
            <w:r>
              <w:rPr>
                <w:rFonts w:hint="eastAsia"/>
                <w:kern w:val="0"/>
                <w:sz w:val="20"/>
              </w:rPr>
              <w:t>得宝240</w:t>
            </w:r>
          </w:p>
        </w:tc>
        <w:tc>
          <w:tcPr>
            <w:tcW w:w="2401" w:type="dxa"/>
            <w:vAlign w:val="top"/>
          </w:tcPr>
          <w:p>
            <w:pPr>
              <w:jc w:val="center"/>
              <w:rPr>
                <w:kern w:val="0"/>
                <w:sz w:val="20"/>
              </w:rPr>
            </w:pPr>
            <w:r>
              <w:rPr>
                <w:rFonts w:hint="eastAsia"/>
                <w:kern w:val="0"/>
                <w:sz w:val="20"/>
              </w:rPr>
              <w:t>25600</w:t>
            </w:r>
          </w:p>
        </w:tc>
        <w:tc>
          <w:tcPr>
            <w:tcW w:w="1217" w:type="dxa"/>
            <w:tcBorders>
              <w:right w:val="single" w:color="auto" w:sz="4" w:space="0"/>
            </w:tcBorders>
            <w:vAlign w:val="top"/>
          </w:tcPr>
          <w:p>
            <w:pPr>
              <w:jc w:val="center"/>
              <w:rPr>
                <w:kern w:val="0"/>
                <w:sz w:val="20"/>
              </w:rPr>
            </w:pPr>
            <w:r>
              <w:rPr>
                <w:rFonts w:hint="eastAsia"/>
                <w:kern w:val="0"/>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97" w:type="dxa"/>
            <w:vAlign w:val="top"/>
          </w:tcPr>
          <w:p>
            <w:pPr>
              <w:jc w:val="center"/>
              <w:rPr>
                <w:kern w:val="0"/>
                <w:sz w:val="20"/>
              </w:rPr>
            </w:pPr>
            <w:r>
              <w:rPr>
                <w:rFonts w:hint="eastAsia"/>
                <w:kern w:val="0"/>
                <w:sz w:val="20"/>
              </w:rPr>
              <w:t>方正电脑</w:t>
            </w:r>
          </w:p>
        </w:tc>
        <w:tc>
          <w:tcPr>
            <w:tcW w:w="2107" w:type="dxa"/>
            <w:vAlign w:val="top"/>
          </w:tcPr>
          <w:p>
            <w:pPr>
              <w:jc w:val="center"/>
              <w:rPr>
                <w:kern w:val="0"/>
                <w:sz w:val="20"/>
              </w:rPr>
            </w:pPr>
          </w:p>
        </w:tc>
        <w:tc>
          <w:tcPr>
            <w:tcW w:w="2401" w:type="dxa"/>
            <w:vAlign w:val="top"/>
          </w:tcPr>
          <w:p>
            <w:pPr>
              <w:jc w:val="center"/>
              <w:rPr>
                <w:kern w:val="0"/>
                <w:sz w:val="20"/>
              </w:rPr>
            </w:pPr>
            <w:r>
              <w:rPr>
                <w:rFonts w:hint="eastAsia"/>
                <w:kern w:val="0"/>
                <w:sz w:val="20"/>
              </w:rPr>
              <w:t>3190</w:t>
            </w:r>
          </w:p>
        </w:tc>
        <w:tc>
          <w:tcPr>
            <w:tcW w:w="1217" w:type="dxa"/>
            <w:tcBorders>
              <w:right w:val="single" w:color="auto" w:sz="4" w:space="0"/>
            </w:tcBorders>
            <w:vAlign w:val="top"/>
          </w:tcPr>
          <w:p>
            <w:pPr>
              <w:jc w:val="center"/>
              <w:rPr>
                <w:kern w:val="0"/>
                <w:sz w:val="20"/>
              </w:rPr>
            </w:pPr>
            <w:r>
              <w:rPr>
                <w:rFonts w:hint="eastAsia"/>
                <w:kern w:val="0"/>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97" w:type="dxa"/>
            <w:vAlign w:val="top"/>
          </w:tcPr>
          <w:p>
            <w:pPr>
              <w:jc w:val="center"/>
              <w:rPr>
                <w:kern w:val="0"/>
                <w:sz w:val="20"/>
              </w:rPr>
            </w:pPr>
            <w:r>
              <w:rPr>
                <w:rFonts w:hint="eastAsia"/>
                <w:kern w:val="0"/>
                <w:sz w:val="20"/>
              </w:rPr>
              <w:t>七喜电脑</w:t>
            </w:r>
          </w:p>
        </w:tc>
        <w:tc>
          <w:tcPr>
            <w:tcW w:w="2107" w:type="dxa"/>
            <w:vAlign w:val="top"/>
          </w:tcPr>
          <w:p>
            <w:pPr>
              <w:jc w:val="center"/>
              <w:rPr>
                <w:kern w:val="0"/>
                <w:sz w:val="20"/>
              </w:rPr>
            </w:pPr>
          </w:p>
        </w:tc>
        <w:tc>
          <w:tcPr>
            <w:tcW w:w="2401" w:type="dxa"/>
            <w:vAlign w:val="top"/>
          </w:tcPr>
          <w:p>
            <w:pPr>
              <w:jc w:val="center"/>
              <w:rPr>
                <w:kern w:val="0"/>
                <w:sz w:val="20"/>
              </w:rPr>
            </w:pPr>
            <w:r>
              <w:rPr>
                <w:rFonts w:hint="eastAsia"/>
                <w:kern w:val="0"/>
                <w:sz w:val="20"/>
              </w:rPr>
              <w:t>3400</w:t>
            </w:r>
          </w:p>
        </w:tc>
        <w:tc>
          <w:tcPr>
            <w:tcW w:w="1217" w:type="dxa"/>
            <w:tcBorders>
              <w:right w:val="single" w:color="auto" w:sz="4" w:space="0"/>
            </w:tcBorders>
            <w:vAlign w:val="top"/>
          </w:tcPr>
          <w:p>
            <w:pPr>
              <w:jc w:val="center"/>
              <w:rPr>
                <w:kern w:val="0"/>
                <w:sz w:val="20"/>
              </w:rPr>
            </w:pPr>
            <w:r>
              <w:rPr>
                <w:rFonts w:hint="eastAsia"/>
                <w:kern w:val="0"/>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97" w:type="dxa"/>
            <w:vAlign w:val="top"/>
          </w:tcPr>
          <w:p>
            <w:pPr>
              <w:jc w:val="center"/>
              <w:rPr>
                <w:kern w:val="0"/>
                <w:sz w:val="20"/>
              </w:rPr>
            </w:pPr>
            <w:r>
              <w:rPr>
                <w:rFonts w:hint="eastAsia"/>
                <w:kern w:val="0"/>
                <w:sz w:val="20"/>
              </w:rPr>
              <w:t>复印机</w:t>
            </w:r>
          </w:p>
        </w:tc>
        <w:tc>
          <w:tcPr>
            <w:tcW w:w="2107" w:type="dxa"/>
            <w:vAlign w:val="top"/>
          </w:tcPr>
          <w:p>
            <w:pPr>
              <w:jc w:val="center"/>
              <w:rPr>
                <w:kern w:val="0"/>
                <w:sz w:val="20"/>
              </w:rPr>
            </w:pPr>
            <w:r>
              <w:rPr>
                <w:rFonts w:hint="eastAsia"/>
                <w:kern w:val="0"/>
                <w:sz w:val="20"/>
              </w:rPr>
              <w:t>夏普2820</w:t>
            </w:r>
          </w:p>
        </w:tc>
        <w:tc>
          <w:tcPr>
            <w:tcW w:w="2401" w:type="dxa"/>
            <w:vAlign w:val="top"/>
          </w:tcPr>
          <w:p>
            <w:pPr>
              <w:jc w:val="center"/>
              <w:rPr>
                <w:kern w:val="0"/>
                <w:sz w:val="20"/>
              </w:rPr>
            </w:pPr>
            <w:r>
              <w:rPr>
                <w:rFonts w:hint="eastAsia"/>
                <w:kern w:val="0"/>
                <w:sz w:val="20"/>
              </w:rPr>
              <w:t>7750</w:t>
            </w:r>
          </w:p>
        </w:tc>
        <w:tc>
          <w:tcPr>
            <w:tcW w:w="1217" w:type="dxa"/>
            <w:tcBorders>
              <w:right w:val="single" w:color="auto" w:sz="4" w:space="0"/>
            </w:tcBorders>
            <w:vAlign w:val="top"/>
          </w:tcPr>
          <w:p>
            <w:pPr>
              <w:jc w:val="center"/>
              <w:rPr>
                <w:kern w:val="0"/>
                <w:sz w:val="20"/>
              </w:rPr>
            </w:pPr>
            <w:r>
              <w:rPr>
                <w:rFonts w:hint="eastAsia"/>
                <w:kern w:val="0"/>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97" w:type="dxa"/>
            <w:vAlign w:val="top"/>
          </w:tcPr>
          <w:p>
            <w:pPr>
              <w:jc w:val="center"/>
              <w:rPr>
                <w:kern w:val="0"/>
                <w:sz w:val="20"/>
              </w:rPr>
            </w:pPr>
            <w:r>
              <w:rPr>
                <w:rFonts w:hint="eastAsia"/>
                <w:kern w:val="0"/>
                <w:sz w:val="20"/>
              </w:rPr>
              <w:t>办公桌</w:t>
            </w:r>
          </w:p>
        </w:tc>
        <w:tc>
          <w:tcPr>
            <w:tcW w:w="2107" w:type="dxa"/>
            <w:vAlign w:val="top"/>
          </w:tcPr>
          <w:p>
            <w:pPr>
              <w:jc w:val="center"/>
              <w:rPr>
                <w:kern w:val="0"/>
                <w:sz w:val="20"/>
              </w:rPr>
            </w:pPr>
          </w:p>
        </w:tc>
        <w:tc>
          <w:tcPr>
            <w:tcW w:w="2401" w:type="dxa"/>
            <w:vAlign w:val="top"/>
          </w:tcPr>
          <w:p>
            <w:pPr>
              <w:jc w:val="center"/>
              <w:rPr>
                <w:kern w:val="0"/>
                <w:sz w:val="20"/>
              </w:rPr>
            </w:pPr>
            <w:r>
              <w:rPr>
                <w:rFonts w:hint="eastAsia"/>
                <w:kern w:val="0"/>
                <w:sz w:val="20"/>
              </w:rPr>
              <w:t>300</w:t>
            </w:r>
          </w:p>
        </w:tc>
        <w:tc>
          <w:tcPr>
            <w:tcW w:w="1217" w:type="dxa"/>
            <w:tcBorders>
              <w:right w:val="single" w:color="auto" w:sz="4" w:space="0"/>
            </w:tcBorders>
            <w:vAlign w:val="top"/>
          </w:tcPr>
          <w:p>
            <w:pPr>
              <w:jc w:val="center"/>
              <w:rPr>
                <w:kern w:val="0"/>
                <w:sz w:val="20"/>
              </w:rPr>
            </w:pPr>
            <w:r>
              <w:rPr>
                <w:rFonts w:hint="eastAsia"/>
                <w:kern w:val="0"/>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97" w:type="dxa"/>
            <w:vAlign w:val="top"/>
          </w:tcPr>
          <w:p>
            <w:pPr>
              <w:jc w:val="center"/>
              <w:rPr>
                <w:kern w:val="0"/>
                <w:sz w:val="20"/>
              </w:rPr>
            </w:pPr>
            <w:r>
              <w:rPr>
                <w:rFonts w:hint="eastAsia"/>
                <w:kern w:val="0"/>
                <w:sz w:val="20"/>
              </w:rPr>
              <w:t>文件柜</w:t>
            </w:r>
          </w:p>
        </w:tc>
        <w:tc>
          <w:tcPr>
            <w:tcW w:w="2107" w:type="dxa"/>
            <w:vAlign w:val="top"/>
          </w:tcPr>
          <w:p>
            <w:pPr>
              <w:jc w:val="center"/>
              <w:rPr>
                <w:kern w:val="0"/>
                <w:sz w:val="20"/>
              </w:rPr>
            </w:pPr>
          </w:p>
        </w:tc>
        <w:tc>
          <w:tcPr>
            <w:tcW w:w="2401" w:type="dxa"/>
            <w:vAlign w:val="top"/>
          </w:tcPr>
          <w:p>
            <w:pPr>
              <w:jc w:val="center"/>
              <w:rPr>
                <w:kern w:val="0"/>
                <w:sz w:val="20"/>
              </w:rPr>
            </w:pPr>
            <w:r>
              <w:rPr>
                <w:rFonts w:hint="eastAsia"/>
                <w:kern w:val="0"/>
                <w:sz w:val="20"/>
              </w:rPr>
              <w:t>500</w:t>
            </w:r>
          </w:p>
        </w:tc>
        <w:tc>
          <w:tcPr>
            <w:tcW w:w="1217" w:type="dxa"/>
            <w:tcBorders>
              <w:right w:val="single" w:color="auto" w:sz="4" w:space="0"/>
            </w:tcBorders>
            <w:vAlign w:val="top"/>
          </w:tcPr>
          <w:p>
            <w:pPr>
              <w:jc w:val="center"/>
              <w:rPr>
                <w:kern w:val="0"/>
                <w:sz w:val="20"/>
              </w:rPr>
            </w:pPr>
            <w:r>
              <w:rPr>
                <w:rFonts w:hint="eastAsia"/>
                <w:kern w:val="0"/>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97" w:type="dxa"/>
            <w:vAlign w:val="top"/>
          </w:tcPr>
          <w:p>
            <w:pPr>
              <w:jc w:val="center"/>
              <w:rPr>
                <w:kern w:val="0"/>
                <w:sz w:val="20"/>
              </w:rPr>
            </w:pPr>
            <w:r>
              <w:rPr>
                <w:rFonts w:hint="eastAsia"/>
                <w:kern w:val="0"/>
                <w:sz w:val="20"/>
              </w:rPr>
              <w:t>电脑桌（大）</w:t>
            </w:r>
          </w:p>
        </w:tc>
        <w:tc>
          <w:tcPr>
            <w:tcW w:w="2107" w:type="dxa"/>
            <w:vAlign w:val="top"/>
          </w:tcPr>
          <w:p>
            <w:pPr>
              <w:jc w:val="center"/>
              <w:rPr>
                <w:kern w:val="0"/>
                <w:sz w:val="20"/>
              </w:rPr>
            </w:pPr>
          </w:p>
        </w:tc>
        <w:tc>
          <w:tcPr>
            <w:tcW w:w="2401" w:type="dxa"/>
            <w:vAlign w:val="top"/>
          </w:tcPr>
          <w:p>
            <w:pPr>
              <w:jc w:val="center"/>
              <w:rPr>
                <w:kern w:val="0"/>
                <w:sz w:val="20"/>
              </w:rPr>
            </w:pPr>
            <w:r>
              <w:rPr>
                <w:rFonts w:hint="eastAsia"/>
                <w:kern w:val="0"/>
                <w:sz w:val="20"/>
              </w:rPr>
              <w:t>150</w:t>
            </w:r>
          </w:p>
        </w:tc>
        <w:tc>
          <w:tcPr>
            <w:tcW w:w="1217" w:type="dxa"/>
            <w:tcBorders>
              <w:right w:val="single" w:color="auto" w:sz="4" w:space="0"/>
            </w:tcBorders>
            <w:vAlign w:val="top"/>
          </w:tcPr>
          <w:p>
            <w:pPr>
              <w:jc w:val="center"/>
              <w:rPr>
                <w:kern w:val="0"/>
                <w:sz w:val="20"/>
              </w:rPr>
            </w:pPr>
            <w:r>
              <w:rPr>
                <w:rFonts w:hint="eastAsia"/>
                <w:kern w:val="0"/>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97" w:type="dxa"/>
            <w:vAlign w:val="top"/>
          </w:tcPr>
          <w:p>
            <w:pPr>
              <w:jc w:val="center"/>
              <w:rPr>
                <w:kern w:val="0"/>
                <w:sz w:val="20"/>
              </w:rPr>
            </w:pPr>
            <w:r>
              <w:rPr>
                <w:rFonts w:hint="eastAsia"/>
                <w:kern w:val="0"/>
                <w:sz w:val="20"/>
              </w:rPr>
              <w:t>电脑桌（小）</w:t>
            </w:r>
          </w:p>
        </w:tc>
        <w:tc>
          <w:tcPr>
            <w:tcW w:w="2107" w:type="dxa"/>
            <w:vAlign w:val="top"/>
          </w:tcPr>
          <w:p>
            <w:pPr>
              <w:jc w:val="center"/>
              <w:rPr>
                <w:kern w:val="0"/>
                <w:sz w:val="20"/>
              </w:rPr>
            </w:pPr>
          </w:p>
        </w:tc>
        <w:tc>
          <w:tcPr>
            <w:tcW w:w="2401" w:type="dxa"/>
            <w:vAlign w:val="top"/>
          </w:tcPr>
          <w:p>
            <w:pPr>
              <w:jc w:val="center"/>
              <w:rPr>
                <w:kern w:val="0"/>
                <w:sz w:val="20"/>
              </w:rPr>
            </w:pPr>
            <w:r>
              <w:rPr>
                <w:rFonts w:hint="eastAsia"/>
                <w:kern w:val="0"/>
                <w:sz w:val="20"/>
              </w:rPr>
              <w:t>100</w:t>
            </w:r>
          </w:p>
        </w:tc>
        <w:tc>
          <w:tcPr>
            <w:tcW w:w="1217" w:type="dxa"/>
            <w:tcBorders>
              <w:right w:val="single" w:color="auto" w:sz="4" w:space="0"/>
            </w:tcBorders>
            <w:vAlign w:val="top"/>
          </w:tcPr>
          <w:p>
            <w:pPr>
              <w:jc w:val="center"/>
              <w:rPr>
                <w:kern w:val="0"/>
                <w:sz w:val="20"/>
              </w:rPr>
            </w:pPr>
            <w:r>
              <w:rPr>
                <w:rFonts w:hint="eastAsia"/>
                <w:kern w:val="0"/>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97" w:type="dxa"/>
            <w:vAlign w:val="top"/>
          </w:tcPr>
          <w:p>
            <w:pPr>
              <w:jc w:val="center"/>
              <w:rPr>
                <w:kern w:val="0"/>
                <w:sz w:val="20"/>
              </w:rPr>
            </w:pPr>
            <w:r>
              <w:rPr>
                <w:rFonts w:hint="eastAsia"/>
                <w:kern w:val="0"/>
                <w:sz w:val="20"/>
              </w:rPr>
              <w:t>木椅</w:t>
            </w:r>
          </w:p>
        </w:tc>
        <w:tc>
          <w:tcPr>
            <w:tcW w:w="2107" w:type="dxa"/>
            <w:vAlign w:val="top"/>
          </w:tcPr>
          <w:p>
            <w:pPr>
              <w:jc w:val="center"/>
              <w:rPr>
                <w:kern w:val="0"/>
                <w:sz w:val="20"/>
              </w:rPr>
            </w:pPr>
          </w:p>
        </w:tc>
        <w:tc>
          <w:tcPr>
            <w:tcW w:w="2401" w:type="dxa"/>
            <w:vAlign w:val="top"/>
          </w:tcPr>
          <w:p>
            <w:pPr>
              <w:jc w:val="center"/>
              <w:rPr>
                <w:kern w:val="0"/>
                <w:sz w:val="20"/>
              </w:rPr>
            </w:pPr>
            <w:r>
              <w:rPr>
                <w:rFonts w:hint="eastAsia"/>
                <w:kern w:val="0"/>
                <w:sz w:val="20"/>
              </w:rPr>
              <w:t>30</w:t>
            </w:r>
          </w:p>
        </w:tc>
        <w:tc>
          <w:tcPr>
            <w:tcW w:w="1217" w:type="dxa"/>
            <w:tcBorders>
              <w:right w:val="single" w:color="auto" w:sz="4" w:space="0"/>
            </w:tcBorders>
            <w:vAlign w:val="top"/>
          </w:tcPr>
          <w:p>
            <w:pPr>
              <w:jc w:val="center"/>
              <w:rPr>
                <w:kern w:val="0"/>
                <w:sz w:val="20"/>
              </w:rPr>
            </w:pPr>
            <w:r>
              <w:rPr>
                <w:rFonts w:hint="eastAsia"/>
                <w:kern w:val="0"/>
                <w:sz w:val="20"/>
              </w:rPr>
              <w:t>1</w:t>
            </w:r>
          </w:p>
        </w:tc>
      </w:tr>
    </w:tbl>
    <w:p>
      <w:pPr>
        <w:ind w:firstLine="560" w:firstLineChars="200"/>
        <w:rPr>
          <w:rFonts w:ascii="新宋体" w:hAnsi="新宋体" w:eastAsia="新宋体"/>
          <w:sz w:val="28"/>
          <w:szCs w:val="28"/>
        </w:rPr>
      </w:pPr>
      <w:r>
        <w:rPr>
          <w:rFonts w:hint="eastAsia" w:ascii="新宋体" w:hAnsi="新宋体" w:eastAsia="新宋体"/>
          <w:sz w:val="28"/>
          <w:szCs w:val="28"/>
        </w:rPr>
        <w:t>2.学院提供电接口，文印室用电装表计量收费，价格按相关企业的政府定价执行。</w:t>
      </w:r>
    </w:p>
    <w:p>
      <w:pPr>
        <w:rPr>
          <w:b/>
          <w:sz w:val="28"/>
          <w:szCs w:val="28"/>
        </w:rPr>
      </w:pPr>
      <w:r>
        <w:rPr>
          <w:rFonts w:hint="eastAsia"/>
          <w:b/>
          <w:sz w:val="28"/>
          <w:szCs w:val="28"/>
        </w:rPr>
        <w:t>二、费用缴纳与合同期限</w:t>
      </w:r>
    </w:p>
    <w:p>
      <w:pPr>
        <w:ind w:firstLine="560" w:firstLineChars="200"/>
        <w:rPr>
          <w:rFonts w:hint="eastAsia"/>
          <w:sz w:val="28"/>
          <w:szCs w:val="28"/>
        </w:rPr>
      </w:pPr>
      <w:r>
        <w:rPr>
          <w:rFonts w:hint="eastAsia"/>
          <w:sz w:val="28"/>
          <w:szCs w:val="28"/>
        </w:rPr>
        <w:t>1.在签约前缴纳第一次经营许可费；此后的每一年度经营许可费在上一经营年度结束前30天缴纳。</w:t>
      </w:r>
    </w:p>
    <w:p>
      <w:pPr>
        <w:ind w:firstLine="560" w:firstLineChars="200"/>
        <w:rPr>
          <w:rFonts w:hint="eastAsia"/>
          <w:sz w:val="28"/>
          <w:szCs w:val="28"/>
        </w:rPr>
      </w:pPr>
      <w:r>
        <w:rPr>
          <w:rFonts w:hint="eastAsia"/>
          <w:sz w:val="28"/>
          <w:szCs w:val="28"/>
        </w:rPr>
        <w:t>2.水电由学校转供，费用由乙方承担。水电按照商业价格核算，每3个月结算一次。</w:t>
      </w:r>
    </w:p>
    <w:p>
      <w:pPr>
        <w:ind w:firstLine="560" w:firstLineChars="200"/>
        <w:rPr>
          <w:rFonts w:hint="eastAsia"/>
          <w:sz w:val="28"/>
          <w:szCs w:val="28"/>
        </w:rPr>
      </w:pPr>
      <w:r>
        <w:rPr>
          <w:rFonts w:hint="eastAsia"/>
          <w:sz w:val="28"/>
          <w:szCs w:val="28"/>
        </w:rPr>
        <w:t>3.上述费用的每天收取滞纳金0.5%。</w:t>
      </w:r>
    </w:p>
    <w:p>
      <w:pPr>
        <w:ind w:firstLine="560" w:firstLineChars="200"/>
        <w:rPr>
          <w:sz w:val="28"/>
          <w:szCs w:val="28"/>
        </w:rPr>
      </w:pPr>
      <w:r>
        <w:rPr>
          <w:rFonts w:hint="eastAsia"/>
          <w:sz w:val="28"/>
          <w:szCs w:val="28"/>
        </w:rPr>
        <w:t>4.合同服务期为2年，即自</w:t>
      </w:r>
      <w:r>
        <w:rPr>
          <w:sz w:val="28"/>
          <w:szCs w:val="28"/>
        </w:rPr>
        <w:t>201</w:t>
      </w:r>
      <w:r>
        <w:rPr>
          <w:rFonts w:hint="eastAsia"/>
          <w:sz w:val="28"/>
          <w:szCs w:val="28"/>
        </w:rPr>
        <w:t>6年8月25日至</w:t>
      </w:r>
      <w:r>
        <w:rPr>
          <w:sz w:val="28"/>
          <w:szCs w:val="28"/>
        </w:rPr>
        <w:t>201</w:t>
      </w:r>
      <w:r>
        <w:rPr>
          <w:rFonts w:hint="eastAsia"/>
          <w:sz w:val="28"/>
          <w:szCs w:val="28"/>
        </w:rPr>
        <w:t>8年8月25日止。</w:t>
      </w:r>
    </w:p>
    <w:p>
      <w:pPr>
        <w:rPr>
          <w:b/>
          <w:sz w:val="28"/>
          <w:szCs w:val="28"/>
        </w:rPr>
      </w:pPr>
      <w:r>
        <w:rPr>
          <w:rFonts w:hint="eastAsia"/>
          <w:b/>
          <w:sz w:val="28"/>
          <w:szCs w:val="28"/>
        </w:rPr>
        <w:t>三、文印服务费用的结算</w:t>
      </w:r>
    </w:p>
    <w:p>
      <w:pPr>
        <w:ind w:firstLine="560" w:firstLineChars="200"/>
        <w:rPr>
          <w:sz w:val="28"/>
          <w:szCs w:val="28"/>
        </w:rPr>
      </w:pPr>
      <w:r>
        <w:rPr>
          <w:rFonts w:hint="eastAsia"/>
          <w:sz w:val="28"/>
          <w:szCs w:val="28"/>
        </w:rPr>
        <w:t>甲方与乙方每月结算、付款一次。结算价格按照双方议定的价格结算，详见下表。甲方凭乙方出具的当地税务部门正式的印刷、打印和复印等票据（附上加盖企业印章的清单）、统计表、原始记录表审签后，以转帐的形式付款。付款时间暂定为收到乙方费用报账材料后的15个工作日内。</w:t>
      </w:r>
    </w:p>
    <w:p>
      <w:pPr>
        <w:ind w:firstLine="560" w:firstLineChars="200"/>
        <w:rPr>
          <w:color w:val="FF0000"/>
          <w:sz w:val="28"/>
          <w:szCs w:val="28"/>
        </w:rPr>
      </w:pPr>
      <w:r>
        <w:rPr>
          <w:rFonts w:hint="eastAsia"/>
          <w:sz w:val="28"/>
          <w:szCs w:val="28"/>
        </w:rPr>
        <w:t xml:space="preserve">   </w:t>
      </w:r>
      <w:r>
        <w:rPr>
          <w:rFonts w:hint="eastAsia"/>
          <w:color w:val="FF0000"/>
          <w:sz w:val="28"/>
          <w:szCs w:val="28"/>
        </w:rPr>
        <w:t xml:space="preserve"> 印品服务费用结算价格表</w:t>
      </w:r>
    </w:p>
    <w:p>
      <w:pPr>
        <w:rPr>
          <w:b/>
          <w:sz w:val="28"/>
          <w:szCs w:val="28"/>
        </w:rPr>
      </w:pPr>
      <w:r>
        <w:rPr>
          <w:rFonts w:hint="eastAsia"/>
          <w:b/>
          <w:sz w:val="28"/>
          <w:szCs w:val="28"/>
        </w:rPr>
        <w:t>四、服务要求：</w:t>
      </w:r>
    </w:p>
    <w:p>
      <w:pPr>
        <w:ind w:firstLine="560" w:firstLineChars="200"/>
        <w:rPr>
          <w:sz w:val="28"/>
          <w:szCs w:val="28"/>
        </w:rPr>
      </w:pPr>
      <w:r>
        <w:rPr>
          <w:sz w:val="28"/>
          <w:szCs w:val="28"/>
        </w:rPr>
        <w:t>1</w:t>
      </w:r>
      <w:r>
        <w:rPr>
          <w:rFonts w:hint="eastAsia"/>
          <w:sz w:val="28"/>
          <w:szCs w:val="28"/>
        </w:rPr>
        <w:t>.乙方对学校下达的保密印刷品必须按国家有关保密法规和学校相关规定严格执行，并提供切实可行的具体保障措施。保密印刷品的印刷时不得许可无关人员进入。</w:t>
      </w:r>
    </w:p>
    <w:p>
      <w:pPr>
        <w:ind w:firstLine="560" w:firstLineChars="200"/>
        <w:rPr>
          <w:sz w:val="28"/>
          <w:szCs w:val="28"/>
        </w:rPr>
      </w:pPr>
      <w:r>
        <w:rPr>
          <w:rFonts w:hint="eastAsia"/>
          <w:sz w:val="28"/>
          <w:szCs w:val="28"/>
        </w:rPr>
        <w:t>2.乙方必须保证在规定时间内及时交付学校下达的印品服务，在考试阶段均按照学校考务要求执行好相关印刷工作，相关考务文印业务由甲方教务处全权监督执行。</w:t>
      </w:r>
    </w:p>
    <w:p>
      <w:pPr>
        <w:ind w:firstLine="560" w:firstLineChars="200"/>
        <w:rPr>
          <w:sz w:val="28"/>
          <w:szCs w:val="28"/>
        </w:rPr>
      </w:pPr>
      <w:r>
        <w:rPr>
          <w:rFonts w:hint="eastAsia"/>
          <w:sz w:val="28"/>
          <w:szCs w:val="28"/>
        </w:rPr>
        <w:t>3.乙方需将价目表列示于各服务场点；相关日常服务必须承诺到位，服务好学校各级部门及师生。</w:t>
      </w:r>
    </w:p>
    <w:p>
      <w:pPr>
        <w:ind w:firstLine="560" w:firstLineChars="200"/>
        <w:rPr>
          <w:sz w:val="28"/>
          <w:szCs w:val="28"/>
        </w:rPr>
      </w:pPr>
      <w:r>
        <w:rPr>
          <w:rFonts w:hint="eastAsia"/>
          <w:sz w:val="28"/>
          <w:szCs w:val="28"/>
        </w:rPr>
        <w:t>4.乙方除常规的工作时间外，根据学校或校区工作需要，在星期六和星期日以及法定节假日、寒假、暑假、考试期间，须向学校或校区提供文印工作服务。</w:t>
      </w:r>
    </w:p>
    <w:p>
      <w:pPr>
        <w:ind w:firstLine="560" w:firstLineChars="200"/>
        <w:rPr>
          <w:sz w:val="28"/>
          <w:szCs w:val="28"/>
        </w:rPr>
      </w:pPr>
      <w:r>
        <w:rPr>
          <w:rFonts w:hint="eastAsia"/>
          <w:sz w:val="28"/>
          <w:szCs w:val="28"/>
        </w:rPr>
        <w:t>5.乙方所聘文印工作室工作人员要求身份明确，品行端正，身体健康，服务态度诚恳，讲究公共卫生和个人卫生，使用普通话，具有高中以上学历。</w:t>
      </w:r>
    </w:p>
    <w:p>
      <w:pPr>
        <w:ind w:firstLine="560" w:firstLineChars="200"/>
        <w:rPr>
          <w:sz w:val="28"/>
          <w:szCs w:val="28"/>
        </w:rPr>
      </w:pPr>
      <w:r>
        <w:rPr>
          <w:rFonts w:hint="eastAsia"/>
          <w:sz w:val="28"/>
          <w:szCs w:val="28"/>
        </w:rPr>
        <w:t>6.乙方严禁以任何形式雇佣学生从事文印服务工作。</w:t>
      </w:r>
    </w:p>
    <w:p>
      <w:pPr>
        <w:ind w:firstLine="560" w:firstLineChars="200"/>
        <w:rPr>
          <w:sz w:val="28"/>
          <w:szCs w:val="28"/>
        </w:rPr>
      </w:pPr>
      <w:r>
        <w:rPr>
          <w:rFonts w:hint="eastAsia"/>
          <w:sz w:val="28"/>
          <w:szCs w:val="28"/>
        </w:rPr>
        <w:t>7.乙方在文印服务期间，应按学校规定交纳水电费。</w:t>
      </w:r>
    </w:p>
    <w:p>
      <w:pPr>
        <w:ind w:firstLine="560" w:firstLineChars="200"/>
        <w:rPr>
          <w:sz w:val="28"/>
          <w:szCs w:val="28"/>
        </w:rPr>
      </w:pPr>
      <w:r>
        <w:rPr>
          <w:rFonts w:hint="eastAsia"/>
          <w:sz w:val="28"/>
          <w:szCs w:val="28"/>
        </w:rPr>
        <w:t>8.乙方必须</w:t>
      </w:r>
      <w:r>
        <w:rPr>
          <w:sz w:val="28"/>
          <w:szCs w:val="28"/>
        </w:rPr>
        <w:t>合法</w:t>
      </w:r>
      <w:r>
        <w:rPr>
          <w:rFonts w:hint="eastAsia"/>
          <w:sz w:val="28"/>
          <w:szCs w:val="28"/>
        </w:rPr>
        <w:t>自主</w:t>
      </w:r>
      <w:r>
        <w:rPr>
          <w:sz w:val="28"/>
          <w:szCs w:val="28"/>
        </w:rPr>
        <w:t>经营</w:t>
      </w:r>
      <w:r>
        <w:rPr>
          <w:rFonts w:hint="eastAsia"/>
          <w:sz w:val="28"/>
          <w:szCs w:val="28"/>
        </w:rPr>
        <w:t>，独立核算、自负盈亏，不得超范围经营，必须合法用工。如乙方违法或违规经营，学校有权终止合同，一切损失由乙方承担。</w:t>
      </w:r>
      <w:r>
        <w:rPr>
          <w:sz w:val="28"/>
          <w:szCs w:val="28"/>
        </w:rPr>
        <w:t>双方合作以诚信为本，在协议期内经营方所产生的债权、债务均由乙方承担，与</w:t>
      </w:r>
      <w:r>
        <w:rPr>
          <w:rFonts w:hint="eastAsia"/>
          <w:sz w:val="28"/>
          <w:szCs w:val="28"/>
        </w:rPr>
        <w:t>甲方</w:t>
      </w:r>
      <w:r>
        <w:rPr>
          <w:sz w:val="28"/>
          <w:szCs w:val="28"/>
        </w:rPr>
        <w:t>无关</w:t>
      </w:r>
      <w:r>
        <w:rPr>
          <w:rFonts w:hint="eastAsia"/>
          <w:sz w:val="28"/>
          <w:szCs w:val="28"/>
        </w:rPr>
        <w:t>。</w:t>
      </w:r>
    </w:p>
    <w:p>
      <w:pPr>
        <w:ind w:firstLine="560" w:firstLineChars="200"/>
        <w:rPr>
          <w:sz w:val="28"/>
          <w:szCs w:val="28"/>
        </w:rPr>
      </w:pPr>
      <w:r>
        <w:rPr>
          <w:rFonts w:hint="eastAsia"/>
          <w:sz w:val="28"/>
          <w:szCs w:val="28"/>
        </w:rPr>
        <w:t>9.</w:t>
      </w:r>
      <w:r>
        <w:rPr>
          <w:sz w:val="28"/>
          <w:szCs w:val="28"/>
        </w:rPr>
        <w:t>如乙方中途停止经营，</w:t>
      </w:r>
      <w:r>
        <w:rPr>
          <w:rFonts w:hint="eastAsia"/>
          <w:sz w:val="28"/>
          <w:szCs w:val="28"/>
        </w:rPr>
        <w:t>甲方不承担任何责任，乙方需按剩余租赁期租金的 20%向甲方支付违约金</w:t>
      </w:r>
      <w:r>
        <w:rPr>
          <w:sz w:val="28"/>
          <w:szCs w:val="28"/>
        </w:rPr>
        <w:t>；</w:t>
      </w:r>
      <w:r>
        <w:rPr>
          <w:rFonts w:hint="eastAsia"/>
          <w:sz w:val="28"/>
          <w:szCs w:val="28"/>
        </w:rPr>
        <w:t>乙方中途终止协议或</w:t>
      </w:r>
      <w:r>
        <w:rPr>
          <w:sz w:val="28"/>
          <w:szCs w:val="28"/>
        </w:rPr>
        <w:t>协议结束</w:t>
      </w:r>
      <w:r>
        <w:rPr>
          <w:rFonts w:hint="eastAsia"/>
          <w:sz w:val="28"/>
          <w:szCs w:val="28"/>
        </w:rPr>
        <w:t>甲方</w:t>
      </w:r>
      <w:r>
        <w:rPr>
          <w:sz w:val="28"/>
          <w:szCs w:val="28"/>
        </w:rPr>
        <w:t>不承担任何装修改造补偿费用。</w:t>
      </w:r>
    </w:p>
    <w:p>
      <w:pPr>
        <w:ind w:firstLine="560" w:firstLineChars="200"/>
        <w:rPr>
          <w:sz w:val="28"/>
          <w:szCs w:val="28"/>
        </w:rPr>
      </w:pPr>
      <w:r>
        <w:rPr>
          <w:rFonts w:hint="eastAsia"/>
          <w:sz w:val="28"/>
          <w:szCs w:val="28"/>
        </w:rPr>
        <w:t>10.乙方</w:t>
      </w:r>
      <w:r>
        <w:rPr>
          <w:sz w:val="28"/>
          <w:szCs w:val="28"/>
        </w:rPr>
        <w:t>对现有建筑</w:t>
      </w:r>
      <w:r>
        <w:rPr>
          <w:rFonts w:hint="eastAsia"/>
          <w:sz w:val="28"/>
          <w:szCs w:val="28"/>
        </w:rPr>
        <w:t>装修</w:t>
      </w:r>
      <w:r>
        <w:rPr>
          <w:sz w:val="28"/>
          <w:szCs w:val="28"/>
        </w:rPr>
        <w:t>改造方案须经</w:t>
      </w:r>
      <w:r>
        <w:rPr>
          <w:rFonts w:hint="eastAsia"/>
          <w:sz w:val="28"/>
          <w:szCs w:val="28"/>
        </w:rPr>
        <w:t>甲方</w:t>
      </w:r>
      <w:r>
        <w:rPr>
          <w:sz w:val="28"/>
          <w:szCs w:val="28"/>
        </w:rPr>
        <w:t>批准同意，</w:t>
      </w:r>
      <w:r>
        <w:rPr>
          <w:rFonts w:hint="eastAsia"/>
          <w:sz w:val="28"/>
          <w:szCs w:val="28"/>
        </w:rPr>
        <w:t>装修</w:t>
      </w:r>
      <w:r>
        <w:rPr>
          <w:sz w:val="28"/>
          <w:szCs w:val="28"/>
        </w:rPr>
        <w:t>改造费用由</w:t>
      </w:r>
      <w:r>
        <w:rPr>
          <w:rFonts w:hint="eastAsia"/>
          <w:sz w:val="28"/>
          <w:szCs w:val="28"/>
        </w:rPr>
        <w:t>乙方</w:t>
      </w:r>
      <w:r>
        <w:rPr>
          <w:sz w:val="28"/>
          <w:szCs w:val="28"/>
        </w:rPr>
        <w:t>承担</w:t>
      </w:r>
      <w:r>
        <w:rPr>
          <w:rFonts w:hint="eastAsia"/>
          <w:sz w:val="28"/>
          <w:szCs w:val="28"/>
        </w:rPr>
        <w:t>。租赁期满，乙方不得拆除装饰改造的固定附属物，固定附属物产权归甲方所有，否则在房屋租赁押金中扣除。可移动物品由乙方自行处理。</w:t>
      </w:r>
    </w:p>
    <w:p>
      <w:pPr>
        <w:ind w:firstLine="560" w:firstLineChars="200"/>
        <w:rPr>
          <w:sz w:val="28"/>
          <w:szCs w:val="28"/>
        </w:rPr>
      </w:pPr>
      <w:r>
        <w:rPr>
          <w:rFonts w:hint="eastAsia"/>
          <w:sz w:val="28"/>
          <w:szCs w:val="28"/>
        </w:rPr>
        <w:t>11.乙方</w:t>
      </w:r>
      <w:r>
        <w:rPr>
          <w:sz w:val="28"/>
          <w:szCs w:val="28"/>
        </w:rPr>
        <w:t>不能以任何方式将服务项目转包或分包给第三方</w:t>
      </w:r>
      <w:r>
        <w:rPr>
          <w:rFonts w:hint="eastAsia"/>
          <w:sz w:val="28"/>
          <w:szCs w:val="28"/>
        </w:rPr>
        <w:t>，否则视为违约，学校有权终止合同并没收履约保证金。</w:t>
      </w:r>
      <w:r>
        <w:rPr>
          <w:sz w:val="28"/>
          <w:szCs w:val="28"/>
        </w:rPr>
        <w:t>。</w:t>
      </w:r>
      <w:r>
        <w:rPr>
          <w:rFonts w:hint="eastAsia"/>
          <w:sz w:val="28"/>
          <w:szCs w:val="28"/>
        </w:rPr>
        <w:t>乙方</w:t>
      </w:r>
      <w:r>
        <w:rPr>
          <w:sz w:val="28"/>
          <w:szCs w:val="28"/>
        </w:rPr>
        <w:t xml:space="preserve">必须加强对员工的培训、教育和管理，严格遵守学校的规章制度，自觉接受学校及相关部门的检查、监督和指导。管理服务人员须经过专业培训并持有相应的有效上岗证、资格证。 </w:t>
      </w:r>
    </w:p>
    <w:p>
      <w:pPr>
        <w:ind w:firstLine="560" w:firstLineChars="200"/>
        <w:rPr>
          <w:sz w:val="28"/>
          <w:szCs w:val="28"/>
        </w:rPr>
      </w:pPr>
      <w:r>
        <w:rPr>
          <w:rFonts w:hint="eastAsia"/>
          <w:sz w:val="28"/>
          <w:szCs w:val="28"/>
        </w:rPr>
        <w:t>12.乙方</w:t>
      </w:r>
      <w:r>
        <w:rPr>
          <w:sz w:val="28"/>
          <w:szCs w:val="28"/>
        </w:rPr>
        <w:t>对文印室区域内的消防管理：严格遵守有关消防的法律法规；确保所有消防设施与设备的安全和无因管理疏忽引起的消防事故；遇火情时能履行应急处理的义务。</w:t>
      </w:r>
    </w:p>
    <w:p>
      <w:pPr>
        <w:rPr>
          <w:b/>
          <w:sz w:val="28"/>
          <w:szCs w:val="28"/>
        </w:rPr>
      </w:pPr>
      <w:r>
        <w:rPr>
          <w:rFonts w:hint="eastAsia"/>
          <w:b/>
          <w:sz w:val="28"/>
          <w:szCs w:val="28"/>
        </w:rPr>
        <w:t>五、违约责任</w:t>
      </w:r>
    </w:p>
    <w:p>
      <w:pPr>
        <w:ind w:firstLine="560" w:firstLineChars="200"/>
        <w:rPr>
          <w:sz w:val="28"/>
          <w:szCs w:val="28"/>
        </w:rPr>
      </w:pPr>
      <w:r>
        <w:rPr>
          <w:rFonts w:hint="eastAsia"/>
          <w:sz w:val="28"/>
          <w:szCs w:val="28"/>
        </w:rPr>
        <w:t>1.乙方未按甲方质量要求延误了工作，对所完成的印刷业务，甲方拒付印刷费用。</w:t>
      </w:r>
    </w:p>
    <w:p>
      <w:pPr>
        <w:ind w:firstLine="560" w:firstLineChars="200"/>
        <w:rPr>
          <w:sz w:val="28"/>
          <w:szCs w:val="28"/>
        </w:rPr>
      </w:pPr>
      <w:r>
        <w:rPr>
          <w:rFonts w:hint="eastAsia"/>
          <w:sz w:val="28"/>
          <w:szCs w:val="28"/>
        </w:rPr>
        <w:t>2. 对学校下达的印品经查如因中标单位泄密或印刷不及时而构成教学事故或对学校工作产生不良后果，学校有权没收其履约保证金，并中止合同执行，学校有权追究中标单位的法律责任及违约责任。</w:t>
      </w:r>
    </w:p>
    <w:p>
      <w:pPr>
        <w:ind w:firstLine="560" w:firstLineChars="200"/>
        <w:rPr>
          <w:sz w:val="28"/>
          <w:szCs w:val="28"/>
        </w:rPr>
      </w:pPr>
      <w:r>
        <w:rPr>
          <w:rFonts w:hint="eastAsia"/>
          <w:sz w:val="28"/>
          <w:szCs w:val="28"/>
        </w:rPr>
        <w:t>3.对因甲方工作失误导致的火患、水淹、断电事故（属不抗力因素和检修线路停电除外）造成的乙方损失，给予乙方适当补偿。</w:t>
      </w:r>
    </w:p>
    <w:p>
      <w:pPr>
        <w:ind w:firstLine="560" w:firstLineChars="200"/>
        <w:rPr>
          <w:sz w:val="28"/>
          <w:szCs w:val="28"/>
        </w:rPr>
      </w:pPr>
      <w:r>
        <w:rPr>
          <w:rFonts w:hint="eastAsia"/>
          <w:sz w:val="28"/>
          <w:szCs w:val="28"/>
        </w:rPr>
        <w:t>4.甲方按约定时间支付文印服务费，延期付款，每天收取滞纳金0.5%</w:t>
      </w:r>
    </w:p>
    <w:p>
      <w:pPr>
        <w:rPr>
          <w:b/>
          <w:sz w:val="28"/>
          <w:szCs w:val="28"/>
        </w:rPr>
      </w:pPr>
      <w:r>
        <w:rPr>
          <w:rFonts w:hint="eastAsia"/>
          <w:b/>
          <w:sz w:val="28"/>
          <w:szCs w:val="28"/>
        </w:rPr>
        <w:t>六、索赔</w:t>
      </w:r>
    </w:p>
    <w:p>
      <w:pPr>
        <w:rPr>
          <w:sz w:val="28"/>
          <w:szCs w:val="28"/>
        </w:rPr>
      </w:pPr>
      <w:r>
        <w:rPr>
          <w:sz w:val="28"/>
          <w:szCs w:val="28"/>
        </w:rPr>
        <w:t xml:space="preserve">    </w:t>
      </w:r>
      <w:r>
        <w:rPr>
          <w:rFonts w:hint="eastAsia"/>
          <w:sz w:val="28"/>
          <w:szCs w:val="28"/>
        </w:rPr>
        <w:t>服务期间如发生由于违约情况，乙方在接到甲方通知</w:t>
      </w:r>
      <w:r>
        <w:rPr>
          <w:sz w:val="28"/>
          <w:szCs w:val="28"/>
        </w:rPr>
        <w:t>8</w:t>
      </w:r>
      <w:r>
        <w:rPr>
          <w:rFonts w:hint="eastAsia"/>
          <w:sz w:val="28"/>
          <w:szCs w:val="28"/>
        </w:rPr>
        <w:t>小时内（以电传日期为准）给予答复，并在</w:t>
      </w:r>
      <w:r>
        <w:rPr>
          <w:sz w:val="28"/>
          <w:szCs w:val="28"/>
        </w:rPr>
        <w:t>24</w:t>
      </w:r>
      <w:r>
        <w:rPr>
          <w:rFonts w:hint="eastAsia"/>
          <w:sz w:val="28"/>
          <w:szCs w:val="28"/>
        </w:rPr>
        <w:t>小时内派工作人员到现场处理</w:t>
      </w:r>
      <w:r>
        <w:rPr>
          <w:sz w:val="28"/>
          <w:szCs w:val="28"/>
        </w:rPr>
        <w:t xml:space="preserve">, </w:t>
      </w:r>
      <w:r>
        <w:rPr>
          <w:rFonts w:hint="eastAsia"/>
          <w:sz w:val="28"/>
          <w:szCs w:val="28"/>
        </w:rPr>
        <w:t>在两个工作日内解决问题。如果乙方对甲方提出的索赔负有责任，乙方应负责解决，并承担由此发生的一切损失和费用。如逾期不予答复和处理，由视为上述索赔已被接受，乙方应承担由此发生的一切损失和费用。</w:t>
      </w:r>
    </w:p>
    <w:p>
      <w:pPr>
        <w:rPr>
          <w:sz w:val="28"/>
          <w:szCs w:val="28"/>
        </w:rPr>
      </w:pPr>
    </w:p>
    <w:p>
      <w:pPr>
        <w:rPr>
          <w:sz w:val="28"/>
          <w:szCs w:val="28"/>
        </w:rPr>
      </w:pPr>
    </w:p>
    <w:p>
      <w:pPr>
        <w:rPr>
          <w:sz w:val="28"/>
          <w:szCs w:val="28"/>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2C34A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Plain Text"/>
    <w:basedOn w:val="1"/>
    <w:uiPriority w:val="0"/>
    <w:rPr>
      <w:rFonts w:ascii="宋体" w:hAnsi="Courier New" w:cs="Courier New"/>
      <w:szCs w:val="21"/>
    </w:rPr>
  </w:style>
  <w:style w:type="paragraph" w:styleId="4">
    <w:name w:val="Body Text Indent 2"/>
    <w:basedOn w:val="1"/>
    <w:uiPriority w:val="0"/>
    <w:pPr>
      <w:spacing w:after="120" w:line="480" w:lineRule="auto"/>
      <w:ind w:left="420" w:leftChars="200"/>
    </w:pPr>
  </w:style>
  <w:style w:type="paragraph" w:styleId="5">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水水</dc:creator>
  <cp:lastModifiedBy>水水</cp:lastModifiedBy>
  <dcterms:modified xsi:type="dcterms:W3CDTF">2016-08-18T12:04:33Z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