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560"/>
        <w:jc w:val="lef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b/>
          <w:sz w:val="18"/>
          <w:szCs w:val="18"/>
        </w:rPr>
      </w:pPr>
      <w:bookmarkStart w:id="0" w:name="_GoBack"/>
      <w:r>
        <w:rPr>
          <w:rFonts w:hint="eastAsia"/>
          <w:b/>
          <w:sz w:val="36"/>
          <w:szCs w:val="36"/>
        </w:rPr>
        <w:t>眉山职业技术学院学生转专业</w:t>
      </w:r>
      <w:r>
        <w:rPr>
          <w:rFonts w:hint="eastAsia"/>
          <w:b/>
          <w:sz w:val="36"/>
          <w:szCs w:val="36"/>
          <w:lang w:eastAsia="zh-CN"/>
        </w:rPr>
        <w:t>申请（</w:t>
      </w:r>
      <w:r>
        <w:rPr>
          <w:rFonts w:hint="eastAsia"/>
          <w:b/>
          <w:sz w:val="36"/>
          <w:szCs w:val="36"/>
        </w:rPr>
        <w:t>审批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表</w:t>
      </w:r>
      <w:r>
        <w:rPr>
          <w:rFonts w:hint="eastAsia"/>
          <w:b/>
          <w:sz w:val="18"/>
          <w:szCs w:val="18"/>
        </w:rPr>
        <w:t xml:space="preserve"> </w:t>
      </w:r>
      <w:bookmarkEnd w:id="0"/>
      <w:r>
        <w:rPr>
          <w:rFonts w:hint="eastAsia"/>
          <w:b/>
          <w:sz w:val="18"/>
          <w:szCs w:val="18"/>
        </w:rPr>
        <w:t xml:space="preserve">                                                       </w:t>
      </w:r>
    </w:p>
    <w:p>
      <w:pPr>
        <w:jc w:val="center"/>
        <w:rPr>
          <w:rFonts w:hint="eastAsia"/>
          <w:b/>
          <w:sz w:val="18"/>
          <w:szCs w:val="18"/>
        </w:rPr>
      </w:pPr>
      <w:r>
        <w:rPr>
          <w:rFonts w:hint="eastAsia"/>
          <w:b/>
          <w:sz w:val="18"/>
          <w:szCs w:val="18"/>
          <w:lang w:val="en-US" w:eastAsia="zh-CN"/>
        </w:rPr>
        <w:t xml:space="preserve">                                            </w:t>
      </w:r>
      <w:r>
        <w:rPr>
          <w:rFonts w:hint="eastAsia"/>
          <w:b/>
          <w:sz w:val="18"/>
          <w:szCs w:val="18"/>
        </w:rPr>
        <w:t xml:space="preserve">  编号：</w:t>
      </w:r>
      <w:r>
        <w:rPr>
          <w:rFonts w:hint="eastAsia"/>
          <w:b/>
          <w:sz w:val="18"/>
          <w:szCs w:val="18"/>
          <w:u w:val="single"/>
        </w:rPr>
        <w:t xml:space="preserve">      </w:t>
      </w:r>
      <w:r>
        <w:rPr>
          <w:rFonts w:hint="eastAsia"/>
          <w:b/>
          <w:sz w:val="18"/>
          <w:szCs w:val="18"/>
          <w:u w:val="single"/>
          <w:lang w:val="en-US" w:eastAsia="zh-CN"/>
        </w:rPr>
        <w:t xml:space="preserve">   </w:t>
      </w:r>
      <w:r>
        <w:rPr>
          <w:rFonts w:hint="eastAsia"/>
          <w:b/>
          <w:sz w:val="18"/>
          <w:szCs w:val="18"/>
          <w:u w:val="single"/>
        </w:rPr>
        <w:t xml:space="preserve">   </w:t>
      </w:r>
      <w:r>
        <w:rPr>
          <w:rFonts w:hint="eastAsia"/>
          <w:b/>
          <w:sz w:val="18"/>
          <w:szCs w:val="18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18"/>
          <w:szCs w:val="18"/>
          <w:u w:val="single"/>
        </w:rPr>
        <w:t xml:space="preserve">           </w:t>
      </w:r>
    </w:p>
    <w:tbl>
      <w:tblPr>
        <w:tblStyle w:val="2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165"/>
        <w:gridCol w:w="1042"/>
        <w:gridCol w:w="803"/>
        <w:gridCol w:w="1365"/>
        <w:gridCol w:w="612"/>
        <w:gridCol w:w="333"/>
        <w:gridCol w:w="186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3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所在系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 次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年级及班级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所在系</w:t>
            </w: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层 次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年级及班级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号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（不变）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高考类别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 xml:space="preserve">文科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□理科 </w:t>
            </w: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艺术 □体育</w:t>
            </w:r>
          </w:p>
        </w:tc>
        <w:tc>
          <w:tcPr>
            <w:tcW w:w="94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考生号</w:t>
            </w:r>
          </w:p>
        </w:tc>
        <w:tc>
          <w:tcPr>
            <w:tcW w:w="352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入学形式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0" w:rightChars="0" w:firstLine="240" w:firstLineChars="10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高职单招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普通高考</w:t>
            </w:r>
          </w:p>
        </w:tc>
        <w:tc>
          <w:tcPr>
            <w:tcW w:w="94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352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88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5760" w:firstLineChars="240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  <w:jc w:val="center"/>
        </w:trPr>
        <w:tc>
          <w:tcPr>
            <w:tcW w:w="1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437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920" w:firstLineChars="8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920" w:firstLineChars="8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月   日</w:t>
            </w:r>
          </w:p>
        </w:tc>
        <w:tc>
          <w:tcPr>
            <w:tcW w:w="61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1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1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1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1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line="1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3853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1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50" w:line="240" w:lineRule="exact"/>
              <w:ind w:left="0" w:leftChars="0" w:right="0" w:rightChars="0"/>
              <w:jc w:val="center"/>
              <w:textAlignment w:val="auto"/>
              <w:outlineLvl w:val="9"/>
            </w:pPr>
          </w:p>
        </w:tc>
        <w:tc>
          <w:tcPr>
            <w:tcW w:w="437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1440" w:firstLineChars="600"/>
              <w:textAlignment w:val="auto"/>
              <w:outlineLvl w:val="9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系主任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0" w:rightChars="0" w:firstLine="2400" w:firstLineChars="100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61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5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960" w:firstLineChars="400"/>
              <w:textAlignment w:val="auto"/>
              <w:outlineLvl w:val="9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24"/>
              </w:rPr>
              <w:t>系主任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2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50" w:line="2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7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right="0" w:rightChars="0" w:firstLine="2400" w:firstLineChars="100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处长</w:t>
            </w:r>
            <w:r>
              <w:rPr>
                <w:rFonts w:hint="eastAsia" w:ascii="仿宋_GB2312" w:eastAsia="仿宋_GB2312"/>
                <w:sz w:val="18"/>
                <w:szCs w:val="18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beforeLines="5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50" w:line="240" w:lineRule="exact"/>
              <w:ind w:left="0" w:leftChars="0" w:right="0" w:rightChars="0" w:firstLine="2520" w:firstLineChars="105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53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50" w:line="240" w:lineRule="exact"/>
              <w:ind w:left="0" w:leftChars="0" w:right="0" w:rightChars="0" w:firstLine="2160" w:firstLineChars="900"/>
              <w:jc w:val="both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016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信网</w:t>
            </w:r>
            <w:r>
              <w:rPr>
                <w:rFonts w:hint="eastAsia" w:ascii="仿宋_GB2312" w:eastAsia="仿宋_GB2312"/>
                <w:sz w:val="24"/>
              </w:rPr>
              <w:t>电子数据处理结果：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经批准，该生转入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系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级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班学习。该生转专业变动信息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已</w:t>
            </w:r>
            <w:r>
              <w:rPr>
                <w:rFonts w:hint="eastAsia" w:ascii="仿宋_GB2312" w:eastAsia="仿宋_GB2312"/>
                <w:sz w:val="24"/>
              </w:rPr>
              <w:t>通过教育部学籍学历信息管理平台进行了电子标注。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left="0" w:leftChars="0" w:right="0" w:rightChars="0" w:firstLine="6960" w:firstLineChars="2900"/>
              <w:textAlignment w:val="auto"/>
              <w:outlineLvl w:val="9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经办人：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afterLines="50" w:line="240" w:lineRule="exact"/>
              <w:ind w:right="0" w:rightChars="0" w:firstLine="7920" w:firstLineChars="3300"/>
              <w:textAlignment w:val="auto"/>
              <w:outlineLvl w:val="9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right="-512" w:rightChars="-244" w:hanging="720" w:hangingChars="300"/>
        <w:textAlignment w:val="auto"/>
        <w:outlineLvl w:val="9"/>
        <w:rPr>
          <w:rFonts w:hint="eastAsia" w:ascii="仿宋_GB2312" w:eastAsia="仿宋_GB2312"/>
          <w:b w:val="0"/>
          <w:bCs w:val="0"/>
          <w:sz w:val="24"/>
          <w:lang w:val="en-US" w:eastAsia="zh-CN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hint="eastAsia" w:ascii="仿宋_GB2312" w:eastAsia="仿宋_GB2312"/>
          <w:b w:val="0"/>
          <w:bCs w:val="0"/>
          <w:sz w:val="24"/>
        </w:rPr>
        <w:t>1、学生转专业经学校学籍管理部门电子信息变更后，方可到转入的专业学习。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39" w:leftChars="114" w:right="0" w:rightChars="0" w:firstLine="240" w:firstLineChars="100"/>
        <w:textAlignment w:val="auto"/>
        <w:outlineLvl w:val="9"/>
      </w:pP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>2、学生转入新专业学号不变。</w:t>
      </w:r>
    </w:p>
    <w:sectPr>
      <w:pgSz w:w="11906" w:h="16838"/>
      <w:pgMar w:top="110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0B50"/>
    <w:rsid w:val="1820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2021-01-14T07:26:00Z</dcterms:created>
  <dc:creator>Amy Wang</dc:creator>
  <cp:lastModifiedBy>Amy Wang</cp:lastModifiedBy>
  <dcterms:modified xsi:type="dcterms:W3CDTF">2021-01-14T07:27:34Z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