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rPr>
        <w:t>农业技术系氮吹仪小型设备采购项目</w:t>
      </w:r>
      <w:r>
        <w:rPr>
          <w:rFonts w:hint="eastAsia" w:ascii="黑体" w:hAnsi="黑体" w:eastAsia="黑体" w:cs="黑体"/>
          <w:sz w:val="32"/>
          <w:szCs w:val="32"/>
          <w:lang w:val="en-US" w:eastAsia="zh-CN"/>
        </w:rPr>
        <w:t>清单</w:t>
      </w:r>
    </w:p>
    <w:p>
      <w:pPr>
        <w:ind w:firstLine="480" w:firstLineChars="200"/>
        <w:rPr>
          <w:rFonts w:hint="eastAsia" w:ascii="宋体" w:hAnsi="宋体" w:cs="宋体"/>
          <w:sz w:val="24"/>
        </w:rPr>
      </w:pPr>
    </w:p>
    <w:p>
      <w:pPr>
        <w:spacing w:line="360" w:lineRule="auto"/>
        <w:ind w:firstLine="480" w:firstLineChars="200"/>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cstheme="minorEastAsia"/>
          <w:sz w:val="24"/>
          <w:szCs w:val="24"/>
          <w:lang w:val="en-US" w:eastAsia="zh-CN"/>
        </w:rPr>
        <w:t>农业技术系食品和化工专业开设了《仪器分析》课程，因课程实训项目需要使用氮吹仪进行样品前处理，</w:t>
      </w:r>
      <w:r>
        <w:rPr>
          <w:rFonts w:hint="eastAsia" w:asciiTheme="minorEastAsia" w:hAnsiTheme="minorEastAsia" w:eastAsiaTheme="minorEastAsia" w:cstheme="minorEastAsia"/>
          <w:sz w:val="24"/>
          <w:szCs w:val="24"/>
          <w:lang w:val="en-US" w:eastAsia="zh-CN"/>
        </w:rPr>
        <w:t>现需采购3台氮吹仪，</w:t>
      </w:r>
      <w:r>
        <w:rPr>
          <w:rFonts w:hint="eastAsia" w:asciiTheme="minorEastAsia" w:hAnsiTheme="minorEastAsia" w:cstheme="minorEastAsia"/>
          <w:sz w:val="24"/>
          <w:szCs w:val="24"/>
          <w:lang w:val="en-US" w:eastAsia="zh-CN"/>
        </w:rPr>
        <w:t>用于教学实训。同时对接职业院校农产品质量安全检测技能大赛赛项中农药残留检测（蔬菜中有机磷类农药残留的检测）项目，购买的氮吹仪也可以用于训练学生参加比赛。</w:t>
      </w:r>
      <w:r>
        <w:rPr>
          <w:rFonts w:hint="eastAsia" w:asciiTheme="minorEastAsia" w:hAnsiTheme="minorEastAsia" w:eastAsiaTheme="minorEastAsia" w:cstheme="minorEastAsia"/>
          <w:sz w:val="24"/>
          <w:szCs w:val="24"/>
          <w:lang w:val="en-US" w:eastAsia="zh-CN"/>
        </w:rPr>
        <w:t>具体参数如下：</w:t>
      </w:r>
    </w:p>
    <w:p>
      <w:pPr>
        <w:spacing w:line="360" w:lineRule="auto"/>
        <w:ind w:firstLine="480" w:firstLineChars="200"/>
        <w:rPr>
          <w:rFonts w:hint="eastAsia" w:asciiTheme="minorEastAsia" w:hAnsiTheme="minorEastAsia" w:eastAsiaTheme="minorEastAsia" w:cstheme="minorEastAsia"/>
          <w:sz w:val="24"/>
          <w:szCs w:val="24"/>
          <w:lang w:val="en-US" w:eastAsia="zh-CN"/>
        </w:rPr>
      </w:pPr>
    </w:p>
    <w:tbl>
      <w:tblPr>
        <w:tblStyle w:val="4"/>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287"/>
        <w:gridCol w:w="719"/>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tcBorders>
              <w:top w:val="single" w:color="auto" w:sz="4" w:space="0"/>
            </w:tcBorders>
            <w:vAlign w:val="center"/>
          </w:tcPr>
          <w:p>
            <w:pPr>
              <w:jc w:val="center"/>
              <w:rPr>
                <w:b/>
                <w:bCs/>
                <w:szCs w:val="21"/>
              </w:rPr>
            </w:pPr>
            <w:r>
              <w:rPr>
                <w:rFonts w:hint="eastAsia"/>
                <w:b/>
                <w:bCs/>
                <w:szCs w:val="21"/>
              </w:rPr>
              <w:t>名称</w:t>
            </w:r>
          </w:p>
        </w:tc>
        <w:tc>
          <w:tcPr>
            <w:tcW w:w="3734" w:type="pct"/>
            <w:tcBorders>
              <w:top w:val="single" w:color="auto" w:sz="4" w:space="0"/>
            </w:tcBorders>
            <w:vAlign w:val="center"/>
          </w:tcPr>
          <w:p>
            <w:pPr>
              <w:jc w:val="center"/>
              <w:rPr>
                <w:b/>
                <w:bCs/>
                <w:szCs w:val="21"/>
              </w:rPr>
            </w:pPr>
            <w:r>
              <w:rPr>
                <w:rFonts w:hint="eastAsia"/>
                <w:b/>
                <w:bCs/>
                <w:szCs w:val="21"/>
              </w:rPr>
              <w:t>参数</w:t>
            </w:r>
          </w:p>
        </w:tc>
        <w:tc>
          <w:tcPr>
            <w:tcW w:w="427" w:type="pct"/>
            <w:tcBorders>
              <w:top w:val="single" w:color="auto" w:sz="4" w:space="0"/>
            </w:tcBorders>
            <w:vAlign w:val="center"/>
          </w:tcPr>
          <w:p>
            <w:pPr>
              <w:jc w:val="center"/>
              <w:rPr>
                <w:b/>
                <w:bCs/>
                <w:szCs w:val="21"/>
              </w:rPr>
            </w:pPr>
            <w:r>
              <w:rPr>
                <w:rFonts w:hint="eastAsia"/>
                <w:b/>
                <w:bCs/>
                <w:szCs w:val="21"/>
              </w:rPr>
              <w:t>数量</w:t>
            </w:r>
          </w:p>
        </w:tc>
        <w:tc>
          <w:tcPr>
            <w:tcW w:w="411" w:type="pct"/>
            <w:tcBorders>
              <w:top w:val="single" w:color="auto" w:sz="4" w:space="0"/>
            </w:tcBorders>
            <w:vAlign w:val="center"/>
          </w:tcPr>
          <w:p>
            <w:pPr>
              <w:jc w:val="center"/>
              <w:rPr>
                <w:rFonts w:hint="eastAsia" w:eastAsiaTheme="minorEastAsia"/>
                <w:b/>
                <w:bCs/>
                <w:szCs w:val="21"/>
                <w:lang w:eastAsia="zh-CN"/>
              </w:rPr>
            </w:pPr>
            <w:r>
              <w:rPr>
                <w:rFonts w:hint="eastAsia"/>
                <w:b/>
                <w:bCs/>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jc w:val="center"/>
              <w:rPr>
                <w:szCs w:val="21"/>
              </w:rPr>
            </w:pPr>
            <w:r>
              <w:rPr>
                <w:rFonts w:hint="eastAsia" w:ascii="楷体" w:hAnsi="楷体" w:eastAsia="楷体" w:cs="楷体"/>
                <w:b/>
                <w:bCs/>
                <w:color w:val="333333"/>
                <w:szCs w:val="21"/>
                <w:shd w:val="clear" w:color="auto" w:fill="FFFFFF"/>
              </w:rPr>
              <w:t>氮吹仪</w:t>
            </w:r>
          </w:p>
        </w:tc>
        <w:tc>
          <w:tcPr>
            <w:tcW w:w="3734" w:type="pct"/>
          </w:tcPr>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hint="eastAsia" w:ascii="楷体" w:hAnsi="楷体" w:eastAsia="楷体" w:cs="楷体"/>
                <w:color w:val="333333"/>
                <w:sz w:val="21"/>
                <w:szCs w:val="21"/>
                <w:shd w:val="clear" w:color="auto" w:fill="FFFFFF"/>
              </w:rPr>
              <w:t>参数如下：</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技术参数</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.1温度控制范围：室温+5℃~150℃</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.2 控温精度@40-100℃：±0.5℃</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.3 控温精度@100-150℃：±1℃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.4 同模块最大温差@40℃：±0.3℃</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.5 显示精度：0.1℃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.6★升温时间（从40-150℃）：≤30min      </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.7★标配模块数：1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.8★气针长度：150mm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 xml:space="preserve">.9氮气流量：0-15L/min </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.10尺寸：280×240×500mm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.11★气腔高度可以调节，气针在气腔的位置可被改变,使之适用不同的试管.标准气针长度为150mm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.12在浓缩有毒溶剂时,整个系统可置于通风柜中</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.13自动故障检测及报警功能</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.14★内置超温保护装置</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w:t>
            </w:r>
            <w:r>
              <w:rPr>
                <w:rFonts w:ascii="楷体" w:hAnsi="楷体" w:eastAsia="楷体" w:cs="楷体"/>
                <w:color w:val="333333"/>
                <w:sz w:val="21"/>
                <w:szCs w:val="21"/>
                <w:shd w:val="clear" w:color="auto" w:fill="FFFFFF"/>
              </w:rPr>
              <w:t xml:space="preserve">15 </w:t>
            </w:r>
            <w:r>
              <w:rPr>
                <w:rFonts w:hint="eastAsia" w:ascii="楷体" w:hAnsi="楷体" w:eastAsia="楷体" w:cs="楷体"/>
                <w:color w:val="333333"/>
                <w:sz w:val="21"/>
                <w:szCs w:val="21"/>
                <w:shd w:val="clear" w:color="auto" w:fill="FFFFFF"/>
              </w:rPr>
              <w:t>能即时温度显示、时间递减显示</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配置：</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.1氮吹仪主机1套</w:t>
            </w:r>
          </w:p>
        </w:tc>
        <w:tc>
          <w:tcPr>
            <w:tcW w:w="427" w:type="pct"/>
            <w:vAlign w:val="center"/>
          </w:tcPr>
          <w:p>
            <w:pPr>
              <w:jc w:val="center"/>
              <w:rPr>
                <w:szCs w:val="21"/>
              </w:rPr>
            </w:pPr>
            <w:r>
              <w:rPr>
                <w:szCs w:val="21"/>
              </w:rPr>
              <w:t>2</w:t>
            </w:r>
          </w:p>
        </w:tc>
        <w:tc>
          <w:tcPr>
            <w:tcW w:w="411" w:type="pct"/>
            <w:vAlign w:val="center"/>
          </w:tcPr>
          <w:p>
            <w:pPr>
              <w:jc w:val="center"/>
              <w:rPr>
                <w:rFonts w:hint="eastAsia" w:eastAsiaTheme="minorEastAsia"/>
                <w:szCs w:val="21"/>
                <w:lang w:eastAsia="zh-CN"/>
              </w:rPr>
            </w:pPr>
            <w:r>
              <w:rPr>
                <w:rFonts w:hint="eastAsia"/>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pPr>
              <w:jc w:val="center"/>
              <w:rPr>
                <w:szCs w:val="21"/>
              </w:rPr>
            </w:pPr>
            <w:r>
              <w:rPr>
                <w:rFonts w:hint="eastAsia" w:ascii="楷体" w:hAnsi="楷体" w:eastAsia="楷体" w:cs="楷体"/>
                <w:b/>
                <w:bCs/>
                <w:color w:val="333333"/>
                <w:szCs w:val="21"/>
                <w:shd w:val="clear" w:color="auto" w:fill="FFFFFF"/>
              </w:rPr>
              <w:t>氮吹仪</w:t>
            </w:r>
          </w:p>
        </w:tc>
        <w:tc>
          <w:tcPr>
            <w:tcW w:w="3734" w:type="pct"/>
          </w:tcPr>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技术参数</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.1温度控制范围：室温+5℃~150℃</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.2 控温精度@40-100℃：±0.5℃</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.3 控温精度@100-150℃：±1℃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.4 同模块最大温差@40℃：±0.3℃</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.5 显示精度：0.1℃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.6★升温时间（从40-150℃）：≤30min      </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.7★标配模块数：1</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.8★气针长度：150mm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 xml:space="preserve">.9氮气流量：0-15L/min </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.10尺寸：280×240×500mm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.11★气腔高度可以调节，气针在气腔的位置可被改变,使之适用不同的试管.标准气针长度为150mm</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.12在浓缩有毒溶剂时,整个系统可置于通风柜中</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.13自动故障检测及报警功能</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.14★内置超温保护装置</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1</w:t>
            </w:r>
            <w:r>
              <w:rPr>
                <w:rFonts w:hint="eastAsia" w:ascii="楷体" w:hAnsi="楷体" w:eastAsia="楷体" w:cs="楷体"/>
                <w:color w:val="333333"/>
                <w:sz w:val="21"/>
                <w:szCs w:val="21"/>
                <w:shd w:val="clear" w:color="auto" w:fill="FFFFFF"/>
              </w:rPr>
              <w:t>.</w:t>
            </w:r>
            <w:r>
              <w:rPr>
                <w:rFonts w:ascii="楷体" w:hAnsi="楷体" w:eastAsia="楷体" w:cs="楷体"/>
                <w:color w:val="333333"/>
                <w:sz w:val="21"/>
                <w:szCs w:val="21"/>
                <w:shd w:val="clear" w:color="auto" w:fill="FFFFFF"/>
              </w:rPr>
              <w:t xml:space="preserve">15 </w:t>
            </w:r>
            <w:r>
              <w:rPr>
                <w:rFonts w:hint="eastAsia" w:ascii="楷体" w:hAnsi="楷体" w:eastAsia="楷体" w:cs="楷体"/>
                <w:color w:val="333333"/>
                <w:sz w:val="21"/>
                <w:szCs w:val="21"/>
                <w:shd w:val="clear" w:color="auto" w:fill="FFFFFF"/>
              </w:rPr>
              <w:t>能即时温度显示、时间递减显示</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配置：</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.1氮吹仪主机1套</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.2氮气1瓶</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w:t>
            </w:r>
            <w:r>
              <w:rPr>
                <w:rFonts w:ascii="楷体" w:hAnsi="楷体" w:eastAsia="楷体" w:cs="楷体"/>
                <w:color w:val="333333"/>
                <w:sz w:val="21"/>
                <w:szCs w:val="21"/>
                <w:shd w:val="clear" w:color="auto" w:fill="FFFFFF"/>
              </w:rPr>
              <w:t>3</w:t>
            </w:r>
            <w:r>
              <w:rPr>
                <w:rFonts w:hint="eastAsia" w:ascii="楷体" w:hAnsi="楷体" w:eastAsia="楷体" w:cs="楷体"/>
                <w:color w:val="333333"/>
                <w:sz w:val="21"/>
                <w:szCs w:val="21"/>
                <w:shd w:val="clear" w:color="auto" w:fill="FFFFFF"/>
              </w:rPr>
              <w:t>双瓶气瓶柜2个</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w:t>
            </w:r>
            <w:r>
              <w:rPr>
                <w:rFonts w:ascii="楷体" w:hAnsi="楷体" w:eastAsia="楷体" w:cs="楷体"/>
                <w:color w:val="333333"/>
                <w:sz w:val="21"/>
                <w:szCs w:val="21"/>
                <w:shd w:val="clear" w:color="auto" w:fill="FFFFFF"/>
              </w:rPr>
              <w:t>4</w:t>
            </w:r>
            <w:r>
              <w:rPr>
                <w:rFonts w:hint="eastAsia" w:ascii="楷体" w:hAnsi="楷体" w:eastAsia="楷体" w:cs="楷体"/>
                <w:color w:val="333333"/>
                <w:sz w:val="21"/>
                <w:szCs w:val="21"/>
                <w:shd w:val="clear" w:color="auto" w:fill="FFFFFF"/>
              </w:rPr>
              <w:t xml:space="preserve"> 品牌阀门4套</w:t>
            </w:r>
          </w:p>
          <w:p>
            <w:pPr>
              <w:pStyle w:val="2"/>
              <w:widowControl/>
              <w:shd w:val="clear" w:color="auto" w:fill="FFFFFF"/>
              <w:spacing w:before="0" w:beforeAutospacing="0" w:after="0" w:afterAutospacing="0"/>
              <w:jc w:val="both"/>
              <w:rPr>
                <w:rFonts w:ascii="楷体" w:hAnsi="楷体" w:eastAsia="楷体" w:cs="楷体"/>
                <w:color w:val="333333"/>
                <w:sz w:val="21"/>
                <w:szCs w:val="21"/>
                <w:shd w:val="clear" w:color="auto" w:fill="FFFFFF"/>
              </w:rPr>
            </w:pPr>
            <w:r>
              <w:rPr>
                <w:rFonts w:ascii="楷体" w:hAnsi="楷体" w:eastAsia="楷体" w:cs="楷体"/>
                <w:color w:val="333333"/>
                <w:sz w:val="21"/>
                <w:szCs w:val="21"/>
                <w:shd w:val="clear" w:color="auto" w:fill="FFFFFF"/>
              </w:rPr>
              <w:t>2</w:t>
            </w:r>
            <w:r>
              <w:rPr>
                <w:rFonts w:hint="eastAsia" w:ascii="楷体" w:hAnsi="楷体" w:eastAsia="楷体" w:cs="楷体"/>
                <w:color w:val="333333"/>
                <w:sz w:val="21"/>
                <w:szCs w:val="21"/>
                <w:shd w:val="clear" w:color="auto" w:fill="FFFFFF"/>
              </w:rPr>
              <w:t>.</w:t>
            </w:r>
            <w:r>
              <w:rPr>
                <w:rFonts w:ascii="楷体" w:hAnsi="楷体" w:eastAsia="楷体" w:cs="楷体"/>
                <w:color w:val="333333"/>
                <w:sz w:val="21"/>
                <w:szCs w:val="21"/>
                <w:shd w:val="clear" w:color="auto" w:fill="FFFFFF"/>
              </w:rPr>
              <w:t>5</w:t>
            </w:r>
            <w:r>
              <w:rPr>
                <w:rFonts w:hint="eastAsia" w:ascii="楷体" w:hAnsi="楷体" w:eastAsia="楷体" w:cs="楷体"/>
                <w:color w:val="333333"/>
                <w:sz w:val="21"/>
                <w:szCs w:val="21"/>
                <w:shd w:val="clear" w:color="auto" w:fill="FFFFFF"/>
              </w:rPr>
              <w:t>技术服务1项</w:t>
            </w:r>
          </w:p>
          <w:p>
            <w:pPr>
              <w:rPr>
                <w:szCs w:val="21"/>
              </w:rPr>
            </w:pPr>
            <w:r>
              <w:rPr>
                <w:rFonts w:ascii="楷体" w:hAnsi="楷体" w:eastAsia="楷体" w:cs="楷体"/>
                <w:color w:val="333333"/>
                <w:szCs w:val="21"/>
                <w:shd w:val="clear" w:color="auto" w:fill="FFFFFF"/>
              </w:rPr>
              <w:t>2</w:t>
            </w:r>
            <w:r>
              <w:rPr>
                <w:rFonts w:hint="eastAsia" w:ascii="楷体" w:hAnsi="楷体" w:eastAsia="楷体" w:cs="楷体"/>
                <w:color w:val="333333"/>
                <w:szCs w:val="21"/>
                <w:shd w:val="clear" w:color="auto" w:fill="FFFFFF"/>
              </w:rPr>
              <w:t>.</w:t>
            </w:r>
            <w:r>
              <w:rPr>
                <w:rFonts w:ascii="楷体" w:hAnsi="楷体" w:eastAsia="楷体" w:cs="楷体"/>
                <w:color w:val="333333"/>
                <w:szCs w:val="21"/>
                <w:shd w:val="clear" w:color="auto" w:fill="FFFFFF"/>
              </w:rPr>
              <w:t>6</w:t>
            </w:r>
            <w:r>
              <w:rPr>
                <w:rFonts w:hint="eastAsia" w:ascii="楷体" w:hAnsi="楷体" w:eastAsia="楷体" w:cs="楷体"/>
                <w:color w:val="333333"/>
                <w:szCs w:val="21"/>
                <w:shd w:val="clear" w:color="auto" w:fill="FFFFFF"/>
              </w:rPr>
              <w:t xml:space="preserve"> 三通、扎箍等配套连接件若干</w:t>
            </w:r>
          </w:p>
        </w:tc>
        <w:tc>
          <w:tcPr>
            <w:tcW w:w="427" w:type="pct"/>
            <w:vAlign w:val="center"/>
          </w:tcPr>
          <w:p>
            <w:pPr>
              <w:jc w:val="center"/>
              <w:rPr>
                <w:szCs w:val="21"/>
              </w:rPr>
            </w:pPr>
            <w:r>
              <w:rPr>
                <w:rFonts w:hint="eastAsia"/>
                <w:szCs w:val="21"/>
              </w:rPr>
              <w:t>1</w:t>
            </w:r>
          </w:p>
        </w:tc>
        <w:tc>
          <w:tcPr>
            <w:tcW w:w="411" w:type="pct"/>
            <w:vAlign w:val="center"/>
          </w:tcPr>
          <w:p>
            <w:pPr>
              <w:jc w:val="center"/>
              <w:rPr>
                <w:rFonts w:hint="eastAsia" w:eastAsiaTheme="minorEastAsia"/>
                <w:szCs w:val="21"/>
                <w:lang w:eastAsia="zh-CN"/>
              </w:rPr>
            </w:pPr>
            <w:r>
              <w:rPr>
                <w:rFonts w:hint="eastAsia"/>
                <w:szCs w:val="21"/>
                <w:lang w:val="en-US" w:eastAsia="zh-CN"/>
              </w:rPr>
              <w:t>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zg5ZTkwMmVhMDcxZTU5MTk2ZGRmZmE1ZjEzMjQifQ=="/>
  </w:docVars>
  <w:rsids>
    <w:rsidRoot w:val="524F79B4"/>
    <w:rsid w:val="459A3CCC"/>
    <w:rsid w:val="524F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823</Characters>
  <Lines>0</Lines>
  <Paragraphs>0</Paragraphs>
  <TotalTime>2</TotalTime>
  <ScaleCrop>false</ScaleCrop>
  <LinksUpToDate>false</LinksUpToDate>
  <CharactersWithSpaces>849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2022-05-25T07:31:00Z</dcterms:created>
  <dc:creator>tang海东，andy</dc:creator>
  <cp:lastModifiedBy>tang海东，andy</cp:lastModifiedBy>
  <dcterms:modified xsi:type="dcterms:W3CDTF">2022-05-25T08:08:21Z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0F94425DC6744407B8D4C3A46A28DA10</vt:lpwstr>
  </property>
</Properties>
</file>