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i w:val="0"/>
          <w:iCs w:val="0"/>
          <w:color w:val="000000" w:themeColor="text1"/>
          <w:sz w:val="30"/>
          <w:szCs w:val="30"/>
          <w:shd w:val="clear" w:fill="FFFFFF"/>
          <w:lang w:val="en-US" w:eastAsia="zh-CN"/>
          <w14:textFill>
            <w14:solidFill>
              <w14:schemeClr w14:val="tx1"/>
            </w14:solidFill>
          </w14:textFill>
        </w:rPr>
      </w:pPr>
      <w:r>
        <w:rPr>
          <w:rFonts w:hint="eastAsia" w:ascii="仿宋" w:hAnsi="仿宋" w:eastAsia="仿宋" w:cs="仿宋"/>
          <w:i w:val="0"/>
          <w:iCs w:val="0"/>
          <w:color w:val="000000" w:themeColor="text1"/>
          <w:sz w:val="30"/>
          <w:szCs w:val="30"/>
          <w:shd w:val="clear" w:fill="FFFFFF"/>
          <w:lang w:val="en-US" w:eastAsia="zh-CN"/>
          <w14:textFill>
            <w14:solidFill>
              <w14:schemeClr w14:val="tx1"/>
            </w14:solidFill>
          </w14:textFill>
        </w:rPr>
        <w:t>附件2：评分标准</w:t>
      </w:r>
    </w:p>
    <w:tbl>
      <w:tblPr>
        <w:tblStyle w:val="4"/>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137"/>
        <w:gridCol w:w="1215"/>
        <w:gridCol w:w="6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2" w:type="dxa"/>
            <w:gridSpan w:val="2"/>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215" w:type="dxa"/>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评分因素</w:t>
            </w:r>
          </w:p>
        </w:tc>
        <w:tc>
          <w:tcPr>
            <w:tcW w:w="6573" w:type="dxa"/>
            <w:vAlign w:val="center"/>
          </w:tcPr>
          <w:p>
            <w:pPr>
              <w:spacing w:line="360" w:lineRule="auto"/>
              <w:rPr>
                <w:rFonts w:hint="eastAsia" w:ascii="宋体" w:hAnsi="宋体" w:eastAsia="宋体" w:cs="宋体"/>
                <w:sz w:val="24"/>
                <w:szCs w:val="24"/>
              </w:rPr>
            </w:pPr>
            <w:r>
              <w:rPr>
                <w:rFonts w:hint="eastAsia" w:ascii="宋体" w:hAnsi="宋体" w:eastAsia="宋体" w:cs="宋体"/>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1</w:t>
            </w:r>
          </w:p>
        </w:tc>
        <w:tc>
          <w:tcPr>
            <w:tcW w:w="1137" w:type="dxa"/>
            <w:vAlign w:val="center"/>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价格分</w:t>
            </w:r>
          </w:p>
          <w:p>
            <w:pPr>
              <w:spacing w:line="360" w:lineRule="auto"/>
              <w:jc w:val="center"/>
              <w:rPr>
                <w:rFonts w:hint="eastAsia" w:ascii="宋体" w:hAnsi="宋体" w:eastAsia="宋体" w:cs="宋体"/>
                <w:sz w:val="24"/>
                <w:szCs w:val="24"/>
              </w:rPr>
            </w:pP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rPr>
              <w:t>0分）</w:t>
            </w:r>
          </w:p>
        </w:tc>
        <w:tc>
          <w:tcPr>
            <w:tcW w:w="121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投标报价</w:t>
            </w:r>
          </w:p>
        </w:tc>
        <w:tc>
          <w:tcPr>
            <w:tcW w:w="6573"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价格得分＝（评标基准价/评标价）×</w:t>
            </w:r>
            <w:r>
              <w:rPr>
                <w:rFonts w:hint="eastAsia" w:ascii="宋体" w:hAnsi="宋体" w:eastAsia="宋体" w:cs="宋体"/>
                <w:sz w:val="24"/>
                <w:szCs w:val="24"/>
                <w:lang w:val="en-US" w:eastAsia="zh-CN"/>
              </w:rPr>
              <w:t>4</w:t>
            </w:r>
            <w:r>
              <w:rPr>
                <w:rFonts w:hint="eastAsia" w:ascii="宋体" w:hAnsi="宋体" w:eastAsia="宋体" w:cs="宋体"/>
                <w:sz w:val="24"/>
                <w:szCs w:val="24"/>
              </w:rPr>
              <w:t>0</w:t>
            </w:r>
          </w:p>
          <w:p>
            <w:pPr>
              <w:spacing w:line="360" w:lineRule="auto"/>
              <w:rPr>
                <w:rFonts w:hint="eastAsia" w:ascii="宋体" w:hAnsi="宋体" w:eastAsia="宋体" w:cs="宋体"/>
                <w:sz w:val="24"/>
                <w:szCs w:val="24"/>
              </w:rPr>
            </w:pPr>
            <w:r>
              <w:rPr>
                <w:rFonts w:hint="eastAsia" w:ascii="宋体" w:hAnsi="宋体" w:eastAsia="宋体" w:cs="宋体"/>
                <w:sz w:val="24"/>
                <w:szCs w:val="24"/>
              </w:rPr>
              <w:t>评标价：按招标文件规定条款的原则校核修正后的价格；</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评标基准价：各有效投标人的最低评标价。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restart"/>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2</w:t>
            </w:r>
          </w:p>
        </w:tc>
        <w:tc>
          <w:tcPr>
            <w:tcW w:w="1137" w:type="dxa"/>
            <w:vMerge w:val="restart"/>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val="0"/>
                <w:bCs/>
                <w:color w:val="000000"/>
                <w:sz w:val="24"/>
                <w:szCs w:val="24"/>
              </w:rPr>
              <w:t>商务部分</w:t>
            </w:r>
            <w:r>
              <w:rPr>
                <w:rFonts w:hint="eastAsia" w:ascii="宋体" w:hAnsi="宋体" w:eastAsia="宋体" w:cs="宋体"/>
                <w:bCs/>
                <w:sz w:val="24"/>
                <w:szCs w:val="24"/>
              </w:rPr>
              <w:t>（</w:t>
            </w:r>
            <w:r>
              <w:rPr>
                <w:rFonts w:hint="eastAsia" w:ascii="宋体" w:hAnsi="宋体" w:eastAsia="宋体" w:cs="宋体"/>
                <w:sz w:val="24"/>
                <w:szCs w:val="24"/>
              </w:rPr>
              <w:t>满分2</w:t>
            </w:r>
            <w:r>
              <w:rPr>
                <w:rFonts w:hint="eastAsia" w:ascii="宋体" w:hAnsi="宋体" w:eastAsia="宋体" w:cs="宋体"/>
                <w:sz w:val="24"/>
                <w:szCs w:val="24"/>
                <w:lang w:val="en-US" w:eastAsia="zh-CN"/>
              </w:rPr>
              <w:t>1</w:t>
            </w:r>
            <w:r>
              <w:rPr>
                <w:rFonts w:hint="eastAsia" w:ascii="宋体" w:hAnsi="宋体" w:eastAsia="宋体" w:cs="宋体"/>
                <w:sz w:val="24"/>
                <w:szCs w:val="24"/>
              </w:rPr>
              <w:t>分</w:t>
            </w:r>
            <w:r>
              <w:rPr>
                <w:rFonts w:hint="eastAsia" w:ascii="宋体" w:hAnsi="宋体" w:eastAsia="宋体" w:cs="宋体"/>
                <w:bCs/>
                <w:sz w:val="24"/>
                <w:szCs w:val="24"/>
              </w:rPr>
              <w:t>）</w:t>
            </w:r>
          </w:p>
        </w:tc>
        <w:tc>
          <w:tcPr>
            <w:tcW w:w="1215" w:type="dxa"/>
            <w:tcMar>
              <w:left w:w="57" w:type="dxa"/>
              <w:right w:w="57"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企业相关资质（满分14分）</w:t>
            </w:r>
          </w:p>
          <w:p>
            <w:pPr>
              <w:spacing w:line="360" w:lineRule="auto"/>
              <w:rPr>
                <w:rFonts w:hint="eastAsia" w:ascii="宋体" w:hAnsi="宋体" w:eastAsia="宋体" w:cs="宋体"/>
                <w:sz w:val="24"/>
                <w:szCs w:val="24"/>
              </w:rPr>
            </w:pPr>
          </w:p>
        </w:tc>
        <w:tc>
          <w:tcPr>
            <w:tcW w:w="6573"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（1）投标人有承担科技部创新项目经验的，并提供官网公示截图及证书文件复印件</w:t>
            </w:r>
            <w:r>
              <w:rPr>
                <w:rFonts w:hint="eastAsia" w:ascii="宋体" w:hAnsi="宋体" w:eastAsia="宋体" w:cs="宋体"/>
                <w:sz w:val="24"/>
                <w:szCs w:val="24"/>
                <w:lang w:val="zh-CN"/>
              </w:rPr>
              <w:t>，得</w:t>
            </w:r>
            <w:r>
              <w:rPr>
                <w:rFonts w:hint="eastAsia" w:ascii="宋体" w:hAnsi="宋体" w:eastAsia="宋体" w:cs="宋体"/>
                <w:sz w:val="24"/>
                <w:szCs w:val="24"/>
              </w:rPr>
              <w:t>2分。</w:t>
            </w:r>
          </w:p>
          <w:p>
            <w:pPr>
              <w:pStyle w:val="6"/>
              <w:ind w:firstLine="0" w:firstLineChars="0"/>
              <w:rPr>
                <w:rFonts w:hint="eastAsia" w:ascii="宋体" w:hAnsi="宋体" w:eastAsia="宋体" w:cs="宋体"/>
                <w:sz w:val="24"/>
                <w:szCs w:val="24"/>
                <w:lang w:val="en-US"/>
              </w:rPr>
            </w:pPr>
            <w:r>
              <w:rPr>
                <w:rFonts w:hint="eastAsia" w:ascii="宋体" w:hAnsi="宋体" w:eastAsia="宋体" w:cs="宋体"/>
                <w:sz w:val="24"/>
                <w:szCs w:val="24"/>
                <w:lang w:val="en-US"/>
              </w:rPr>
              <w:t>（2）投标人具有教育部科技发展中心创新基金类课题项目资质，提供相关证明文件复印件，得2分。</w:t>
            </w:r>
          </w:p>
          <w:p>
            <w:pPr>
              <w:spacing w:line="360" w:lineRule="auto"/>
              <w:rPr>
                <w:rFonts w:hint="eastAsia" w:ascii="宋体" w:hAnsi="宋体" w:eastAsia="宋体" w:cs="宋体"/>
                <w:sz w:val="24"/>
                <w:szCs w:val="24"/>
              </w:rPr>
            </w:pPr>
            <w:r>
              <w:rPr>
                <w:rFonts w:hint="eastAsia" w:ascii="宋体" w:hAnsi="宋体" w:eastAsia="宋体" w:cs="宋体"/>
                <w:sz w:val="24"/>
                <w:szCs w:val="24"/>
              </w:rPr>
              <w:t>（3）投标人获得省级或国家级专业资源库建设教学成果奖，提供相关证明文件复印件，得2分。</w:t>
            </w:r>
          </w:p>
          <w:p>
            <w:pPr>
              <w:spacing w:line="360" w:lineRule="auto"/>
              <w:rPr>
                <w:rFonts w:hint="eastAsia" w:ascii="宋体" w:hAnsi="宋体" w:eastAsia="宋体" w:cs="宋体"/>
                <w:sz w:val="24"/>
                <w:szCs w:val="24"/>
              </w:rPr>
            </w:pPr>
            <w:r>
              <w:rPr>
                <w:rFonts w:hint="eastAsia" w:ascii="宋体" w:hAnsi="宋体" w:eastAsia="宋体" w:cs="宋体"/>
                <w:sz w:val="24"/>
                <w:szCs w:val="24"/>
              </w:rPr>
              <w:t>（4）投标人获得过职业教育影响力品牌荣誉的，提供相关证明文件复印件，得2分。</w:t>
            </w:r>
          </w:p>
          <w:p>
            <w:pPr>
              <w:spacing w:line="360" w:lineRule="auto"/>
              <w:rPr>
                <w:rFonts w:hint="eastAsia" w:ascii="宋体" w:hAnsi="宋体" w:eastAsia="宋体" w:cs="宋体"/>
                <w:sz w:val="24"/>
                <w:szCs w:val="24"/>
              </w:rPr>
            </w:pPr>
            <w:r>
              <w:rPr>
                <w:rFonts w:hint="eastAsia" w:ascii="宋体" w:hAnsi="宋体" w:eastAsia="宋体" w:cs="宋体"/>
                <w:sz w:val="24"/>
                <w:szCs w:val="24"/>
              </w:rPr>
              <w:t>（5）投标人具有在线教育实力，支持高校在线教学服务，提供相关机构颁发的证书，得2分。</w:t>
            </w:r>
          </w:p>
          <w:p>
            <w:pPr>
              <w:spacing w:line="360" w:lineRule="auto"/>
              <w:rPr>
                <w:rFonts w:hint="eastAsia" w:ascii="宋体" w:hAnsi="宋体" w:eastAsia="宋体" w:cs="宋体"/>
                <w:sz w:val="24"/>
                <w:szCs w:val="24"/>
              </w:rPr>
            </w:pPr>
            <w:r>
              <w:rPr>
                <w:rFonts w:hint="eastAsia" w:ascii="宋体" w:hAnsi="宋体" w:eastAsia="宋体" w:cs="宋体"/>
                <w:sz w:val="24"/>
                <w:szCs w:val="24"/>
              </w:rPr>
              <w:t>（6）投标人开发的平台入选国家智慧教育平台的，提供相关证明材料或官方网站截图并加盖单位公章，得2分。</w:t>
            </w:r>
          </w:p>
          <w:p>
            <w:pPr>
              <w:spacing w:line="360" w:lineRule="auto"/>
              <w:rPr>
                <w:rFonts w:hint="eastAsia" w:ascii="宋体" w:hAnsi="宋体" w:eastAsia="宋体" w:cs="宋体"/>
                <w:sz w:val="24"/>
                <w:szCs w:val="24"/>
              </w:rPr>
            </w:pPr>
            <w:r>
              <w:rPr>
                <w:rFonts w:hint="eastAsia" w:ascii="宋体" w:hAnsi="宋体" w:eastAsia="宋体" w:cs="宋体"/>
                <w:sz w:val="24"/>
                <w:szCs w:val="24"/>
              </w:rPr>
              <w:t>（7）投标人具备承办金砖大赛类赛事经验，提供具有组织国家技能竞赛的相关证明文件及相关证书文件复印件加盖公章，得2分。</w:t>
            </w:r>
          </w:p>
          <w:p>
            <w:pPr>
              <w:spacing w:line="360" w:lineRule="auto"/>
              <w:rPr>
                <w:rFonts w:hint="eastAsia" w:ascii="宋体" w:hAnsi="宋体" w:eastAsia="宋体" w:cs="宋体"/>
                <w:sz w:val="24"/>
                <w:szCs w:val="24"/>
              </w:rPr>
            </w:pPr>
            <w:r>
              <w:rPr>
                <w:rFonts w:hint="eastAsia" w:ascii="宋体" w:hAnsi="宋体" w:eastAsia="宋体" w:cs="宋体"/>
                <w:sz w:val="24"/>
                <w:szCs w:val="24"/>
              </w:rPr>
              <w:t>★以上资料投标人须提供真实、有效的相关证书证明供评审，如有虚假，将认定响应无效并上报政府采购监督管理部门按有关规定处理。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vAlign w:val="center"/>
          </w:tcPr>
          <w:p>
            <w:pPr>
              <w:spacing w:line="360" w:lineRule="auto"/>
              <w:jc w:val="center"/>
              <w:rPr>
                <w:rFonts w:hint="eastAsia" w:ascii="宋体" w:hAnsi="宋体" w:eastAsia="宋体" w:cs="宋体"/>
                <w:sz w:val="24"/>
                <w:szCs w:val="24"/>
              </w:rPr>
            </w:pPr>
          </w:p>
        </w:tc>
        <w:tc>
          <w:tcPr>
            <w:tcW w:w="1137" w:type="dxa"/>
            <w:vMerge w:val="continue"/>
            <w:vAlign w:val="center"/>
          </w:tcPr>
          <w:p>
            <w:pPr>
              <w:spacing w:line="360" w:lineRule="auto"/>
              <w:jc w:val="center"/>
              <w:rPr>
                <w:rFonts w:hint="eastAsia" w:ascii="宋体" w:hAnsi="宋体" w:eastAsia="宋体" w:cs="宋体"/>
                <w:b/>
                <w:sz w:val="24"/>
                <w:szCs w:val="24"/>
              </w:rPr>
            </w:pPr>
          </w:p>
        </w:tc>
        <w:tc>
          <w:tcPr>
            <w:tcW w:w="1215" w:type="dxa"/>
            <w:tcMar>
              <w:left w:w="57" w:type="dxa"/>
              <w:right w:w="57" w:type="dxa"/>
            </w:tcMar>
            <w:vAlign w:val="center"/>
          </w:tcPr>
          <w:p>
            <w:pPr>
              <w:spacing w:line="360" w:lineRule="auto"/>
              <w:jc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售后服务方案（满分</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分）</w:t>
            </w:r>
          </w:p>
        </w:tc>
        <w:tc>
          <w:tcPr>
            <w:tcW w:w="6573"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（1）供应商针对本项目的培训方案与计划包括但不限于培训目标、培训内容、培训方式、培训标准等方面进行评价：</w:t>
            </w:r>
          </w:p>
          <w:p>
            <w:pPr>
              <w:spacing w:line="360" w:lineRule="auto"/>
              <w:rPr>
                <w:rFonts w:hint="eastAsia" w:ascii="宋体" w:hAnsi="宋体" w:eastAsia="宋体" w:cs="宋体"/>
                <w:sz w:val="24"/>
                <w:szCs w:val="24"/>
              </w:rPr>
            </w:pPr>
            <w:r>
              <w:rPr>
                <w:rFonts w:hint="eastAsia" w:ascii="宋体" w:hAnsi="宋体" w:eastAsia="宋体" w:cs="宋体"/>
                <w:sz w:val="24"/>
                <w:szCs w:val="24"/>
              </w:rPr>
              <w:t>培训方案全面，内容十分丰富，培训时间非常合理，培训目标明确，标准要求高，计划切实可行：</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p>
            <w:pPr>
              <w:spacing w:line="360" w:lineRule="auto"/>
              <w:rPr>
                <w:rFonts w:hint="eastAsia" w:ascii="宋体" w:hAnsi="宋体" w:eastAsia="宋体" w:cs="宋体"/>
                <w:sz w:val="24"/>
                <w:szCs w:val="24"/>
              </w:rPr>
            </w:pPr>
            <w:r>
              <w:rPr>
                <w:rFonts w:hint="eastAsia" w:ascii="宋体" w:hAnsi="宋体" w:eastAsia="宋体" w:cs="宋体"/>
                <w:sz w:val="24"/>
                <w:szCs w:val="24"/>
              </w:rPr>
              <w:t>培训方案全面但内容丰富性一般，培训时间合理、培训目标明确性一般，标准要求较高，计划具备可行性：</w:t>
            </w:r>
            <w:r>
              <w:rPr>
                <w:rFonts w:hint="eastAsia" w:ascii="宋体" w:hAnsi="宋体" w:eastAsia="宋体" w:cs="宋体"/>
                <w:sz w:val="24"/>
                <w:szCs w:val="24"/>
                <w:lang w:val="en-US" w:eastAsia="zh-CN"/>
              </w:rPr>
              <w:t>1.5</w:t>
            </w:r>
            <w:r>
              <w:rPr>
                <w:rFonts w:hint="eastAsia" w:ascii="宋体" w:hAnsi="宋体" w:eastAsia="宋体" w:cs="宋体"/>
                <w:sz w:val="24"/>
                <w:szCs w:val="24"/>
              </w:rPr>
              <w:t>分；</w:t>
            </w:r>
          </w:p>
          <w:p>
            <w:pPr>
              <w:spacing w:line="360" w:lineRule="auto"/>
              <w:rPr>
                <w:rFonts w:hint="eastAsia" w:ascii="宋体" w:hAnsi="宋体" w:eastAsia="宋体" w:cs="宋体"/>
                <w:sz w:val="24"/>
                <w:szCs w:val="24"/>
              </w:rPr>
            </w:pPr>
            <w:r>
              <w:rPr>
                <w:rFonts w:hint="eastAsia" w:ascii="宋体" w:hAnsi="宋体" w:eastAsia="宋体" w:cs="宋体"/>
                <w:sz w:val="24"/>
                <w:szCs w:val="24"/>
              </w:rPr>
              <w:t>培训内容不够全面，培训时间合理性较差、没有设定培训目标及培训标准，计划可行性一般：</w:t>
            </w:r>
            <w:r>
              <w:rPr>
                <w:rFonts w:hint="eastAsia" w:ascii="宋体" w:hAnsi="宋体" w:eastAsia="宋体" w:cs="宋体"/>
                <w:sz w:val="24"/>
                <w:szCs w:val="24"/>
                <w:lang w:val="en-US" w:eastAsia="zh-CN"/>
              </w:rPr>
              <w:t>0.5</w:t>
            </w:r>
            <w:r>
              <w:rPr>
                <w:rFonts w:hint="eastAsia" w:ascii="宋体" w:hAnsi="宋体" w:eastAsia="宋体" w:cs="宋体"/>
                <w:sz w:val="24"/>
                <w:szCs w:val="24"/>
              </w:rPr>
              <w:t>分；</w:t>
            </w:r>
          </w:p>
          <w:p>
            <w:pPr>
              <w:spacing w:line="360" w:lineRule="auto"/>
              <w:rPr>
                <w:rFonts w:hint="eastAsia" w:ascii="宋体" w:hAnsi="宋体" w:eastAsia="宋体" w:cs="宋体"/>
                <w:sz w:val="24"/>
                <w:szCs w:val="24"/>
              </w:rPr>
            </w:pPr>
            <w:r>
              <w:rPr>
                <w:rFonts w:hint="eastAsia" w:ascii="宋体" w:hAnsi="宋体" w:eastAsia="宋体" w:cs="宋体"/>
                <w:sz w:val="24"/>
                <w:szCs w:val="24"/>
              </w:rPr>
              <w:t>（2）售后服务方案：</w:t>
            </w:r>
          </w:p>
          <w:p>
            <w:pPr>
              <w:spacing w:line="360" w:lineRule="auto"/>
              <w:rPr>
                <w:rFonts w:hint="eastAsia" w:ascii="宋体" w:hAnsi="宋体" w:eastAsia="宋体" w:cs="宋体"/>
                <w:sz w:val="24"/>
                <w:szCs w:val="24"/>
              </w:rPr>
            </w:pPr>
            <w:r>
              <w:rPr>
                <w:rFonts w:hint="eastAsia" w:ascii="宋体" w:hAnsi="宋体" w:eastAsia="宋体" w:cs="宋体"/>
                <w:sz w:val="24"/>
                <w:szCs w:val="24"/>
              </w:rPr>
              <w:t>供应商针对本项目的售后服务方案包括但不限于服务内容、售后服务响应时间、服务方式等方面进行评价：</w:t>
            </w:r>
          </w:p>
          <w:p>
            <w:pPr>
              <w:spacing w:line="360" w:lineRule="auto"/>
              <w:rPr>
                <w:rFonts w:hint="eastAsia" w:ascii="宋体" w:hAnsi="宋体" w:eastAsia="宋体" w:cs="宋体"/>
                <w:sz w:val="24"/>
                <w:szCs w:val="24"/>
              </w:rPr>
            </w:pPr>
            <w:r>
              <w:rPr>
                <w:rFonts w:hint="eastAsia" w:ascii="宋体" w:hAnsi="宋体" w:eastAsia="宋体" w:cs="宋体"/>
                <w:sz w:val="24"/>
                <w:szCs w:val="24"/>
              </w:rPr>
              <w:t>售后服务方案全面，内容合理，服务响应时间十分及时，服务方式切实可行：</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p>
            <w:pPr>
              <w:spacing w:line="360" w:lineRule="auto"/>
              <w:rPr>
                <w:rFonts w:hint="eastAsia" w:ascii="宋体" w:hAnsi="宋体" w:eastAsia="宋体" w:cs="宋体"/>
                <w:sz w:val="24"/>
                <w:szCs w:val="24"/>
              </w:rPr>
            </w:pPr>
            <w:r>
              <w:rPr>
                <w:rFonts w:hint="eastAsia" w:ascii="宋体" w:hAnsi="宋体" w:eastAsia="宋体" w:cs="宋体"/>
                <w:sz w:val="24"/>
                <w:szCs w:val="24"/>
              </w:rPr>
              <w:t>售后服务方案有所描述但较简略，服务响应时间具有及时性，服务方式具备可行性：</w:t>
            </w:r>
            <w:r>
              <w:rPr>
                <w:rFonts w:hint="eastAsia" w:ascii="宋体" w:hAnsi="宋体" w:eastAsia="宋体" w:cs="宋体"/>
                <w:sz w:val="24"/>
                <w:szCs w:val="24"/>
                <w:lang w:val="en-US" w:eastAsia="zh-CN"/>
              </w:rPr>
              <w:t>1.5</w:t>
            </w:r>
            <w:r>
              <w:rPr>
                <w:rFonts w:hint="eastAsia" w:ascii="宋体" w:hAnsi="宋体" w:eastAsia="宋体" w:cs="宋体"/>
                <w:sz w:val="24"/>
                <w:szCs w:val="24"/>
              </w:rPr>
              <w:t>分；</w:t>
            </w:r>
          </w:p>
          <w:p>
            <w:pPr>
              <w:spacing w:line="360" w:lineRule="auto"/>
              <w:rPr>
                <w:rFonts w:hint="eastAsia" w:ascii="宋体" w:hAnsi="宋体" w:eastAsia="宋体" w:cs="宋体"/>
                <w:sz w:val="24"/>
                <w:szCs w:val="24"/>
              </w:rPr>
            </w:pPr>
            <w:r>
              <w:rPr>
                <w:rFonts w:hint="eastAsia" w:ascii="宋体" w:hAnsi="宋体" w:eastAsia="宋体" w:cs="宋体"/>
                <w:sz w:val="24"/>
                <w:szCs w:val="24"/>
              </w:rPr>
              <w:t>售后服务方案描述有缺漏项，服务响应时间不够及时，服务方式可行性一般：</w:t>
            </w:r>
            <w:r>
              <w:rPr>
                <w:rFonts w:hint="eastAsia" w:ascii="宋体" w:hAnsi="宋体" w:eastAsia="宋体" w:cs="宋体"/>
                <w:sz w:val="24"/>
                <w:szCs w:val="24"/>
                <w:lang w:val="en-US" w:eastAsia="zh-CN"/>
              </w:rPr>
              <w:t>0.5</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vAlign w:val="center"/>
          </w:tcPr>
          <w:p>
            <w:pPr>
              <w:spacing w:line="360" w:lineRule="auto"/>
              <w:jc w:val="center"/>
              <w:rPr>
                <w:rFonts w:hint="eastAsia" w:ascii="宋体" w:hAnsi="宋体" w:eastAsia="宋体" w:cs="宋体"/>
                <w:sz w:val="24"/>
                <w:szCs w:val="24"/>
              </w:rPr>
            </w:pPr>
          </w:p>
        </w:tc>
        <w:tc>
          <w:tcPr>
            <w:tcW w:w="1137" w:type="dxa"/>
            <w:vMerge w:val="continue"/>
            <w:vAlign w:val="center"/>
          </w:tcPr>
          <w:p>
            <w:pPr>
              <w:spacing w:line="360" w:lineRule="auto"/>
              <w:jc w:val="center"/>
              <w:rPr>
                <w:rFonts w:hint="eastAsia" w:ascii="宋体" w:hAnsi="宋体" w:eastAsia="宋体" w:cs="宋体"/>
                <w:b/>
                <w:sz w:val="24"/>
                <w:szCs w:val="24"/>
              </w:rPr>
            </w:pPr>
          </w:p>
        </w:tc>
        <w:tc>
          <w:tcPr>
            <w:tcW w:w="1215" w:type="dxa"/>
            <w:tcMar>
              <w:left w:w="57" w:type="dxa"/>
              <w:right w:w="57" w:type="dxa"/>
            </w:tcMar>
            <w:vAlign w:val="center"/>
          </w:tcPr>
          <w:p>
            <w:pPr>
              <w:pStyle w:val="2"/>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业绩（</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分）</w:t>
            </w:r>
          </w:p>
        </w:tc>
        <w:tc>
          <w:tcPr>
            <w:tcW w:w="6573"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投标人提供软件制造商近三年相似软件产品类的业绩进行评价。未提供相关证明材料的本项不得分。每个项目得</w:t>
            </w:r>
            <w:r>
              <w:rPr>
                <w:rFonts w:hint="eastAsia" w:ascii="宋体" w:hAnsi="宋体" w:eastAsia="宋体" w:cs="宋体"/>
                <w:sz w:val="24"/>
                <w:szCs w:val="24"/>
                <w:lang w:val="en-US" w:eastAsia="zh-CN"/>
              </w:rPr>
              <w:t>1</w:t>
            </w:r>
            <w:r>
              <w:rPr>
                <w:rFonts w:hint="eastAsia" w:ascii="宋体" w:hAnsi="宋体" w:eastAsia="宋体" w:cs="宋体"/>
                <w:sz w:val="24"/>
                <w:szCs w:val="24"/>
              </w:rPr>
              <w:t>分；本评分项最高得</w:t>
            </w:r>
            <w:r>
              <w:rPr>
                <w:rFonts w:hint="eastAsia" w:ascii="宋体" w:hAnsi="宋体" w:eastAsia="宋体" w:cs="宋体"/>
                <w:sz w:val="24"/>
                <w:szCs w:val="24"/>
                <w:lang w:val="en-US" w:eastAsia="zh-CN"/>
              </w:rPr>
              <w:t>3</w:t>
            </w:r>
            <w:r>
              <w:rPr>
                <w:rFonts w:hint="eastAsia" w:ascii="宋体" w:hAnsi="宋体" w:eastAsia="宋体" w:cs="宋体"/>
                <w:sz w:val="24"/>
                <w:szCs w:val="24"/>
              </w:rPr>
              <w:t>分。（现场提供原件备查，未提供不得分）</w:t>
            </w:r>
          </w:p>
          <w:p>
            <w:pPr>
              <w:spacing w:line="360" w:lineRule="auto"/>
              <w:rPr>
                <w:rFonts w:hint="eastAsia" w:ascii="宋体" w:hAnsi="宋体" w:eastAsia="宋体" w:cs="宋体"/>
                <w:sz w:val="24"/>
                <w:szCs w:val="24"/>
              </w:rPr>
            </w:pPr>
            <w:r>
              <w:rPr>
                <w:rFonts w:hint="eastAsia" w:ascii="宋体" w:hAnsi="宋体" w:eastAsia="宋体" w:cs="宋体"/>
                <w:sz w:val="24"/>
                <w:szCs w:val="24"/>
              </w:rPr>
              <w:t>投标人须在投标文件中提供该业绩项目以下资料复印件：①中标（成交）公告（提供相关网站中标（成交）公告的下载网页及其网址）或中标（成交）通知书复印件；②采购合同文本；③能够证明该业绩项目已经采购人验收合格的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restart"/>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3</w:t>
            </w:r>
          </w:p>
        </w:tc>
        <w:tc>
          <w:tcPr>
            <w:tcW w:w="1137" w:type="dxa"/>
            <w:vMerge w:val="restart"/>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color w:val="000000"/>
                <w:kern w:val="0"/>
                <w:sz w:val="24"/>
                <w:szCs w:val="24"/>
              </w:rPr>
              <w:t>技术部分</w:t>
            </w:r>
            <w:r>
              <w:rPr>
                <w:rFonts w:hint="eastAsia" w:ascii="宋体" w:hAnsi="宋体" w:eastAsia="宋体" w:cs="宋体"/>
                <w:bCs/>
                <w:sz w:val="24"/>
                <w:szCs w:val="24"/>
              </w:rPr>
              <w:t>（</w:t>
            </w:r>
            <w:r>
              <w:rPr>
                <w:rFonts w:hint="eastAsia" w:ascii="宋体" w:hAnsi="宋体" w:eastAsia="宋体" w:cs="宋体"/>
                <w:sz w:val="24"/>
                <w:szCs w:val="24"/>
              </w:rPr>
              <w:t>满分</w:t>
            </w:r>
            <w:r>
              <w:rPr>
                <w:rFonts w:hint="eastAsia" w:ascii="宋体" w:hAnsi="宋体" w:eastAsia="宋体" w:cs="宋体"/>
                <w:sz w:val="24"/>
                <w:szCs w:val="24"/>
                <w:lang w:val="en-US" w:eastAsia="zh-CN"/>
              </w:rPr>
              <w:t>39</w:t>
            </w:r>
            <w:r>
              <w:rPr>
                <w:rFonts w:hint="eastAsia" w:ascii="宋体" w:hAnsi="宋体" w:eastAsia="宋体" w:cs="宋体"/>
                <w:sz w:val="24"/>
                <w:szCs w:val="24"/>
              </w:rPr>
              <w:t>分</w:t>
            </w:r>
            <w:r>
              <w:rPr>
                <w:rFonts w:hint="eastAsia" w:ascii="宋体" w:hAnsi="宋体" w:eastAsia="宋体" w:cs="宋体"/>
                <w:bCs/>
                <w:sz w:val="24"/>
                <w:szCs w:val="24"/>
              </w:rPr>
              <w:t>）</w:t>
            </w:r>
          </w:p>
        </w:tc>
        <w:tc>
          <w:tcPr>
            <w:tcW w:w="1215" w:type="dxa"/>
            <w:tcMar>
              <w:left w:w="57" w:type="dxa"/>
              <w:right w:w="57" w:type="dxa"/>
            </w:tcMar>
            <w:vAlign w:val="center"/>
          </w:tcPr>
          <w:p>
            <w:pPr>
              <w:spacing w:line="360" w:lineRule="auto"/>
              <w:jc w:val="center"/>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技术响应程度（</w:t>
            </w:r>
            <w:r>
              <w:rPr>
                <w:rFonts w:hint="eastAsia" w:ascii="宋体" w:hAnsi="宋体" w:eastAsia="宋体" w:cs="宋体"/>
                <w:color w:val="000000"/>
                <w:kern w:val="0"/>
                <w:sz w:val="24"/>
                <w:szCs w:val="24"/>
                <w:lang w:val="en-US" w:eastAsia="zh-CN"/>
              </w:rPr>
              <w:t>8</w:t>
            </w:r>
            <w:r>
              <w:rPr>
                <w:rFonts w:hint="eastAsia" w:ascii="宋体" w:hAnsi="宋体" w:eastAsia="宋体" w:cs="宋体"/>
                <w:color w:val="000000"/>
                <w:kern w:val="0"/>
                <w:sz w:val="24"/>
                <w:szCs w:val="24"/>
                <w:lang w:val="zh-CN"/>
              </w:rPr>
              <w:t>分）</w:t>
            </w:r>
          </w:p>
        </w:tc>
        <w:tc>
          <w:tcPr>
            <w:tcW w:w="6573" w:type="dxa"/>
          </w:tcPr>
          <w:p>
            <w:pPr>
              <w:pStyle w:val="3"/>
              <w:spacing w:before="0" w:beforeAutospacing="0" w:after="0" w:afterAutospacing="0" w:line="360" w:lineRule="auto"/>
              <w:rPr>
                <w:rFonts w:hint="eastAsia" w:ascii="宋体" w:hAnsi="宋体" w:eastAsia="宋体" w:cs="宋体"/>
                <w:sz w:val="24"/>
                <w:szCs w:val="24"/>
              </w:rPr>
            </w:pPr>
            <w:r>
              <w:rPr>
                <w:rFonts w:hint="eastAsia" w:ascii="宋体" w:hAnsi="宋体" w:eastAsia="宋体" w:cs="宋体"/>
                <w:kern w:val="2"/>
                <w:sz w:val="24"/>
                <w:szCs w:val="24"/>
              </w:rPr>
              <w:t>根据投标货物的技术指标、性能、配置是否符合招标文件的要求及符合程度进行评价，完全满足或高于招标文件要求的，得</w:t>
            </w:r>
            <w:r>
              <w:rPr>
                <w:rFonts w:hint="eastAsia" w:ascii="宋体" w:hAnsi="宋体" w:eastAsia="宋体" w:cs="宋体"/>
                <w:kern w:val="2"/>
                <w:sz w:val="24"/>
                <w:szCs w:val="24"/>
                <w:lang w:val="en-US" w:eastAsia="zh-CN"/>
              </w:rPr>
              <w:t>8</w:t>
            </w:r>
            <w:r>
              <w:rPr>
                <w:rFonts w:hint="eastAsia" w:ascii="宋体" w:hAnsi="宋体" w:eastAsia="宋体" w:cs="宋体"/>
                <w:kern w:val="2"/>
                <w:sz w:val="24"/>
                <w:szCs w:val="24"/>
              </w:rPr>
              <w:t>分，技术参数每负偏离一项扣2分，扣完为止。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vAlign w:val="center"/>
          </w:tcPr>
          <w:p>
            <w:pPr>
              <w:spacing w:line="360" w:lineRule="auto"/>
              <w:jc w:val="center"/>
              <w:rPr>
                <w:rFonts w:hint="eastAsia" w:ascii="宋体" w:hAnsi="宋体" w:eastAsia="宋体" w:cs="宋体"/>
                <w:b/>
                <w:sz w:val="24"/>
                <w:szCs w:val="24"/>
              </w:rPr>
            </w:pPr>
          </w:p>
        </w:tc>
        <w:tc>
          <w:tcPr>
            <w:tcW w:w="1137" w:type="dxa"/>
            <w:vMerge w:val="continue"/>
            <w:vAlign w:val="center"/>
          </w:tcPr>
          <w:p>
            <w:pPr>
              <w:spacing w:line="360" w:lineRule="auto"/>
              <w:jc w:val="center"/>
              <w:rPr>
                <w:rFonts w:hint="eastAsia" w:ascii="宋体" w:hAnsi="宋体" w:eastAsia="宋体" w:cs="宋体"/>
                <w:color w:val="000000"/>
                <w:kern w:val="0"/>
                <w:sz w:val="24"/>
                <w:szCs w:val="24"/>
              </w:rPr>
            </w:pPr>
          </w:p>
        </w:tc>
        <w:tc>
          <w:tcPr>
            <w:tcW w:w="1215" w:type="dxa"/>
            <w:tcMar>
              <w:left w:w="57" w:type="dxa"/>
              <w:right w:w="57" w:type="dxa"/>
            </w:tcMar>
            <w:vAlign w:val="center"/>
          </w:tcPr>
          <w:p>
            <w:pPr>
              <w:spacing w:line="360" w:lineRule="auto"/>
              <w:jc w:val="center"/>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技术证明材料（</w:t>
            </w: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zh-CN"/>
              </w:rPr>
              <w:t>分）</w:t>
            </w:r>
          </w:p>
        </w:tc>
        <w:tc>
          <w:tcPr>
            <w:tcW w:w="6573"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（1）软件制造商提供所有软件产品有效的软件产品《计算机著作权登记证书》得1分；（现场提供原件备查，未提供不得分）</w:t>
            </w:r>
          </w:p>
          <w:p>
            <w:pPr>
              <w:spacing w:line="360" w:lineRule="auto"/>
              <w:rPr>
                <w:rFonts w:hint="eastAsia" w:ascii="宋体" w:hAnsi="宋体" w:eastAsia="宋体" w:cs="宋体"/>
                <w:sz w:val="24"/>
                <w:szCs w:val="24"/>
                <w:lang w:val="zh-CN"/>
              </w:rPr>
            </w:pPr>
            <w:r>
              <w:rPr>
                <w:rFonts w:hint="eastAsia" w:ascii="宋体" w:hAnsi="宋体" w:eastAsia="宋体" w:cs="宋体"/>
                <w:sz w:val="24"/>
                <w:szCs w:val="24"/>
              </w:rPr>
              <w:t>（2）软件厂家提供所有软件产品有效的测试报告得1分,未提供或提供不完整不得分；（现场提供原件备查，未提供不得分）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vAlign w:val="center"/>
          </w:tcPr>
          <w:p>
            <w:pPr>
              <w:spacing w:line="360" w:lineRule="auto"/>
              <w:jc w:val="center"/>
              <w:rPr>
                <w:rFonts w:hint="eastAsia" w:ascii="宋体" w:hAnsi="宋体" w:eastAsia="宋体" w:cs="宋体"/>
                <w:b/>
                <w:sz w:val="24"/>
                <w:szCs w:val="24"/>
              </w:rPr>
            </w:pPr>
          </w:p>
        </w:tc>
        <w:tc>
          <w:tcPr>
            <w:tcW w:w="1137" w:type="dxa"/>
            <w:vMerge w:val="continue"/>
            <w:vAlign w:val="center"/>
          </w:tcPr>
          <w:p>
            <w:pPr>
              <w:spacing w:line="360" w:lineRule="auto"/>
              <w:jc w:val="center"/>
              <w:rPr>
                <w:rFonts w:hint="eastAsia" w:ascii="宋体" w:hAnsi="宋体" w:eastAsia="宋体" w:cs="宋体"/>
                <w:color w:val="000000"/>
                <w:kern w:val="0"/>
                <w:sz w:val="24"/>
                <w:szCs w:val="24"/>
              </w:rPr>
            </w:pPr>
          </w:p>
        </w:tc>
        <w:tc>
          <w:tcPr>
            <w:tcW w:w="1215" w:type="dxa"/>
            <w:tcMar>
              <w:left w:w="57" w:type="dxa"/>
              <w:right w:w="57" w:type="dxa"/>
            </w:tcMar>
            <w:vAlign w:val="center"/>
          </w:tcPr>
          <w:p>
            <w:pPr>
              <w:spacing w:line="360" w:lineRule="auto"/>
              <w:ind w:left="49"/>
              <w:rPr>
                <w:rFonts w:hint="eastAsia" w:ascii="宋体" w:hAnsi="宋体" w:eastAsia="宋体" w:cs="宋体"/>
                <w:color w:val="000000"/>
                <w:sz w:val="24"/>
                <w:szCs w:val="24"/>
                <w:lang w:val="zh-CN"/>
              </w:rPr>
            </w:pPr>
            <w:r>
              <w:rPr>
                <w:rFonts w:hint="eastAsia" w:ascii="宋体" w:hAnsi="宋体" w:eastAsia="宋体" w:cs="宋体"/>
                <w:color w:val="000000"/>
                <w:sz w:val="24"/>
                <w:szCs w:val="24"/>
              </w:rPr>
              <w:t>演示（</w:t>
            </w:r>
            <w:r>
              <w:rPr>
                <w:rFonts w:hint="eastAsia" w:ascii="宋体" w:hAnsi="宋体" w:eastAsia="宋体" w:cs="宋体"/>
                <w:color w:val="000000"/>
                <w:sz w:val="24"/>
                <w:szCs w:val="24"/>
                <w:lang w:val="en-US" w:eastAsia="zh-CN"/>
              </w:rPr>
              <w:t>18</w:t>
            </w:r>
            <w:r>
              <w:rPr>
                <w:rFonts w:hint="eastAsia" w:ascii="宋体" w:hAnsi="宋体" w:eastAsia="宋体" w:cs="宋体"/>
                <w:color w:val="000000"/>
                <w:sz w:val="24"/>
                <w:szCs w:val="24"/>
              </w:rPr>
              <w:t>分）</w:t>
            </w:r>
          </w:p>
        </w:tc>
        <w:tc>
          <w:tcPr>
            <w:tcW w:w="6573"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每一个标注★号的参数为重要指标，必须现</w:t>
            </w:r>
            <w:r>
              <w:rPr>
                <w:rFonts w:hint="eastAsia" w:ascii="宋体" w:hAnsi="宋体" w:eastAsia="宋体" w:cs="宋体"/>
                <w:sz w:val="24"/>
                <w:szCs w:val="24"/>
                <w:lang w:val="en-US" w:eastAsia="zh-CN"/>
              </w:rPr>
              <w:t>上</w:t>
            </w:r>
            <w:r>
              <w:rPr>
                <w:rFonts w:hint="eastAsia" w:ascii="宋体" w:hAnsi="宋体" w:eastAsia="宋体" w:cs="宋体"/>
                <w:sz w:val="24"/>
                <w:szCs w:val="24"/>
              </w:rPr>
              <w:t>逐条演示，</w:t>
            </w:r>
          </w:p>
          <w:p>
            <w:pPr>
              <w:spacing w:line="360" w:lineRule="auto"/>
              <w:rPr>
                <w:rFonts w:hint="eastAsia" w:ascii="宋体" w:hAnsi="宋体" w:eastAsia="宋体" w:cs="宋体"/>
                <w:sz w:val="24"/>
                <w:szCs w:val="24"/>
              </w:rPr>
            </w:pPr>
            <w:r>
              <w:rPr>
                <w:rFonts w:hint="eastAsia" w:ascii="宋体" w:hAnsi="宋体" w:eastAsia="宋体" w:cs="宋体"/>
                <w:sz w:val="24"/>
                <w:szCs w:val="24"/>
              </w:rPr>
              <w:t>每演示一条参数并且完全满足招标需求得2分，满分</w:t>
            </w:r>
            <w:r>
              <w:rPr>
                <w:rFonts w:hint="eastAsia" w:ascii="宋体" w:hAnsi="宋体" w:eastAsia="宋体" w:cs="宋体"/>
                <w:sz w:val="24"/>
                <w:szCs w:val="24"/>
                <w:lang w:val="en-US" w:eastAsia="zh-CN"/>
              </w:rPr>
              <w:t>18</w:t>
            </w:r>
            <w:r>
              <w:rPr>
                <w:rFonts w:hint="eastAsia" w:ascii="宋体" w:hAnsi="宋体" w:eastAsia="宋体" w:cs="宋体"/>
                <w:sz w:val="24"/>
                <w:szCs w:val="24"/>
              </w:rPr>
              <w:t>分，5条以上未满足招标需求或未演示不得分。</w:t>
            </w:r>
          </w:p>
          <w:p>
            <w:pPr>
              <w:spacing w:line="360" w:lineRule="auto"/>
              <w:rPr>
                <w:rFonts w:hint="eastAsia" w:ascii="宋体" w:hAnsi="宋体" w:eastAsia="宋体" w:cs="宋体"/>
                <w:sz w:val="24"/>
                <w:szCs w:val="24"/>
              </w:rPr>
            </w:pPr>
            <w:r>
              <w:rPr>
                <w:rFonts w:hint="eastAsia" w:ascii="宋体" w:hAnsi="宋体" w:eastAsia="宋体" w:cs="宋体"/>
                <w:sz w:val="24"/>
                <w:szCs w:val="24"/>
              </w:rPr>
              <w:t>演示环境必须是真实的软件使用/运行环境，不允许PPT、静态页面、产品视频、原型等不成熟环境演示，否则不予认定，演示设备由投标人自行准备。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vAlign w:val="center"/>
          </w:tcPr>
          <w:p>
            <w:pPr>
              <w:spacing w:line="360" w:lineRule="auto"/>
              <w:jc w:val="center"/>
              <w:rPr>
                <w:rFonts w:hint="eastAsia" w:ascii="宋体" w:hAnsi="宋体" w:eastAsia="宋体" w:cs="宋体"/>
                <w:b/>
                <w:sz w:val="24"/>
                <w:szCs w:val="24"/>
              </w:rPr>
            </w:pPr>
          </w:p>
        </w:tc>
        <w:tc>
          <w:tcPr>
            <w:tcW w:w="1137" w:type="dxa"/>
            <w:vMerge w:val="continue"/>
            <w:vAlign w:val="center"/>
          </w:tcPr>
          <w:p>
            <w:pPr>
              <w:spacing w:line="360" w:lineRule="auto"/>
              <w:jc w:val="center"/>
              <w:rPr>
                <w:rFonts w:hint="eastAsia" w:ascii="宋体" w:hAnsi="宋体" w:eastAsia="宋体" w:cs="宋体"/>
                <w:color w:val="000000"/>
                <w:kern w:val="0"/>
                <w:sz w:val="24"/>
                <w:szCs w:val="24"/>
              </w:rPr>
            </w:pPr>
          </w:p>
        </w:tc>
        <w:tc>
          <w:tcPr>
            <w:tcW w:w="1215" w:type="dxa"/>
            <w:tcMar>
              <w:left w:w="57" w:type="dxa"/>
              <w:right w:w="57" w:type="dxa"/>
            </w:tcMar>
            <w:vAlign w:val="center"/>
          </w:tcPr>
          <w:p>
            <w:pPr>
              <w:spacing w:line="360" w:lineRule="auto"/>
              <w:ind w:left="49"/>
              <w:rPr>
                <w:rFonts w:hint="eastAsia" w:ascii="宋体" w:hAnsi="宋体" w:eastAsia="宋体" w:cs="宋体"/>
                <w:color w:val="000000"/>
                <w:sz w:val="24"/>
                <w:szCs w:val="24"/>
              </w:rPr>
            </w:pPr>
            <w:r>
              <w:rPr>
                <w:rFonts w:hint="eastAsia" w:ascii="宋体" w:hAnsi="宋体" w:eastAsia="宋体" w:cs="宋体"/>
                <w:color w:val="000000"/>
                <w:sz w:val="24"/>
                <w:szCs w:val="24"/>
              </w:rPr>
              <w:t>技术维护方案（3分）</w:t>
            </w:r>
          </w:p>
        </w:tc>
        <w:tc>
          <w:tcPr>
            <w:tcW w:w="6573"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（1）提供了本项目所有货物使用操作和偶发故障的临时应对的技术培训方案且结合项目需求、针对性、指导性强得2分；提供了以上内容但内容过于简单得1分；未提供或不满足项目需求得0分；</w:t>
            </w:r>
          </w:p>
          <w:p>
            <w:pPr>
              <w:spacing w:line="360" w:lineRule="auto"/>
              <w:rPr>
                <w:rFonts w:hint="eastAsia" w:ascii="宋体" w:hAnsi="宋体" w:eastAsia="宋体" w:cs="宋体"/>
                <w:sz w:val="24"/>
                <w:szCs w:val="24"/>
              </w:rPr>
            </w:pPr>
            <w:r>
              <w:rPr>
                <w:rFonts w:hint="eastAsia" w:ascii="宋体" w:hAnsi="宋体" w:eastAsia="宋体" w:cs="宋体"/>
                <w:sz w:val="24"/>
                <w:szCs w:val="24"/>
              </w:rPr>
              <w:t>（2）提供了本项目交付使用后各类突发故障的预判和应对处理方案详实完整，切实可行得1分；提供了以上内容但内容过于简单或未提供得0分；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jc w:val="center"/>
        </w:trPr>
        <w:tc>
          <w:tcPr>
            <w:tcW w:w="525" w:type="dxa"/>
            <w:vMerge w:val="continue"/>
            <w:vAlign w:val="center"/>
          </w:tcPr>
          <w:p>
            <w:pPr>
              <w:spacing w:line="360" w:lineRule="auto"/>
              <w:jc w:val="center"/>
              <w:rPr>
                <w:rFonts w:hint="eastAsia" w:ascii="宋体" w:hAnsi="宋体" w:eastAsia="宋体" w:cs="宋体"/>
                <w:sz w:val="24"/>
                <w:szCs w:val="24"/>
              </w:rPr>
            </w:pPr>
          </w:p>
        </w:tc>
        <w:tc>
          <w:tcPr>
            <w:tcW w:w="1137" w:type="dxa"/>
            <w:vMerge w:val="continue"/>
            <w:vAlign w:val="center"/>
          </w:tcPr>
          <w:p>
            <w:pPr>
              <w:spacing w:line="360" w:lineRule="auto"/>
              <w:jc w:val="center"/>
              <w:rPr>
                <w:rFonts w:hint="eastAsia" w:ascii="宋体" w:hAnsi="宋体" w:eastAsia="宋体" w:cs="宋体"/>
                <w:b/>
                <w:bCs/>
                <w:sz w:val="24"/>
                <w:szCs w:val="24"/>
              </w:rPr>
            </w:pPr>
          </w:p>
        </w:tc>
        <w:tc>
          <w:tcPr>
            <w:tcW w:w="1215" w:type="dxa"/>
            <w:tcMar>
              <w:left w:w="57" w:type="dxa"/>
              <w:right w:w="57" w:type="dxa"/>
            </w:tcMar>
            <w:vAlign w:val="center"/>
          </w:tcPr>
          <w:p>
            <w:pPr>
              <w:spacing w:line="360" w:lineRule="auto"/>
              <w:ind w:left="49"/>
              <w:rPr>
                <w:rFonts w:hint="eastAsia" w:ascii="宋体" w:hAnsi="宋体" w:eastAsia="宋体" w:cs="宋体"/>
                <w:color w:val="000000"/>
                <w:sz w:val="24"/>
                <w:szCs w:val="24"/>
              </w:rPr>
            </w:pPr>
            <w:r>
              <w:rPr>
                <w:rFonts w:hint="eastAsia" w:ascii="宋体" w:hAnsi="宋体" w:eastAsia="宋体" w:cs="宋体"/>
                <w:color w:val="000000"/>
                <w:sz w:val="24"/>
                <w:szCs w:val="24"/>
              </w:rPr>
              <w:t>项目实施人员（</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w:t>
            </w:r>
          </w:p>
        </w:tc>
        <w:tc>
          <w:tcPr>
            <w:tcW w:w="6573"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横向对比各软件制造商拟投入本项目技术人员情况打分：</w:t>
            </w:r>
          </w:p>
          <w:p>
            <w:pPr>
              <w:spacing w:line="360" w:lineRule="auto"/>
              <w:rPr>
                <w:rFonts w:hint="eastAsia" w:ascii="宋体" w:hAnsi="宋体" w:eastAsia="宋体" w:cs="宋体"/>
                <w:sz w:val="24"/>
                <w:szCs w:val="24"/>
              </w:rPr>
            </w:pPr>
            <w:r>
              <w:rPr>
                <w:rFonts w:hint="eastAsia" w:ascii="宋体" w:hAnsi="宋体" w:eastAsia="宋体" w:cs="宋体"/>
                <w:sz w:val="24"/>
                <w:szCs w:val="24"/>
              </w:rPr>
              <w:t>1、每提供1名注册会计师人员或高级会计师人员，得2分，最高得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pPr>
              <w:spacing w:line="360" w:lineRule="auto"/>
              <w:rPr>
                <w:rFonts w:hint="eastAsia" w:ascii="宋体" w:hAnsi="宋体" w:eastAsia="宋体" w:cs="宋体"/>
                <w:sz w:val="24"/>
                <w:szCs w:val="24"/>
              </w:rPr>
            </w:pPr>
            <w:r>
              <w:rPr>
                <w:rFonts w:hint="eastAsia" w:ascii="宋体" w:hAnsi="宋体" w:eastAsia="宋体" w:cs="宋体"/>
                <w:sz w:val="24"/>
                <w:szCs w:val="24"/>
              </w:rPr>
              <w:t>2、每提供1名软件设计师人员或网络工程师人员，得1分，最高得2分；</w:t>
            </w:r>
          </w:p>
          <w:p>
            <w:pPr>
              <w:spacing w:line="360" w:lineRule="auto"/>
              <w:rPr>
                <w:rFonts w:hint="eastAsia" w:ascii="宋体" w:hAnsi="宋体" w:eastAsia="宋体" w:cs="宋体"/>
                <w:sz w:val="24"/>
                <w:szCs w:val="24"/>
              </w:rPr>
            </w:pPr>
            <w:r>
              <w:rPr>
                <w:rFonts w:hint="eastAsia" w:ascii="宋体" w:hAnsi="宋体" w:eastAsia="宋体" w:cs="宋体"/>
                <w:sz w:val="24"/>
                <w:szCs w:val="24"/>
              </w:rPr>
              <w:t>累计最高</w:t>
            </w:r>
            <w:r>
              <w:rPr>
                <w:rFonts w:hint="eastAsia" w:ascii="宋体" w:hAnsi="宋体" w:eastAsia="宋体" w:cs="宋体"/>
                <w:sz w:val="24"/>
                <w:szCs w:val="24"/>
                <w:lang w:val="en-US" w:eastAsia="zh-CN"/>
              </w:rPr>
              <w:t>5</w:t>
            </w:r>
            <w:r>
              <w:rPr>
                <w:rFonts w:hint="eastAsia" w:ascii="宋体" w:hAnsi="宋体" w:eastAsia="宋体" w:cs="宋体"/>
                <w:sz w:val="24"/>
                <w:szCs w:val="24"/>
              </w:rPr>
              <w:t>分。（需提供近三个月社保证明及人员相关技术证书复印件，不提供或不符合要求不得分）。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vAlign w:val="center"/>
          </w:tcPr>
          <w:p>
            <w:pPr>
              <w:spacing w:line="360" w:lineRule="auto"/>
              <w:jc w:val="center"/>
              <w:rPr>
                <w:rFonts w:hint="eastAsia" w:ascii="宋体" w:hAnsi="宋体" w:eastAsia="宋体" w:cs="宋体"/>
                <w:sz w:val="24"/>
                <w:szCs w:val="24"/>
              </w:rPr>
            </w:pPr>
          </w:p>
        </w:tc>
        <w:tc>
          <w:tcPr>
            <w:tcW w:w="1137" w:type="dxa"/>
            <w:vMerge w:val="continue"/>
            <w:vAlign w:val="center"/>
          </w:tcPr>
          <w:p>
            <w:pPr>
              <w:spacing w:line="360" w:lineRule="auto"/>
              <w:jc w:val="center"/>
              <w:rPr>
                <w:rFonts w:hint="eastAsia" w:ascii="宋体" w:hAnsi="宋体" w:eastAsia="宋体" w:cs="宋体"/>
                <w:b/>
                <w:bCs/>
                <w:sz w:val="24"/>
                <w:szCs w:val="24"/>
              </w:rPr>
            </w:pPr>
          </w:p>
        </w:tc>
        <w:tc>
          <w:tcPr>
            <w:tcW w:w="1215" w:type="dxa"/>
            <w:tcMar>
              <w:left w:w="57" w:type="dxa"/>
              <w:right w:w="57" w:type="dxa"/>
            </w:tcMar>
            <w:vAlign w:val="center"/>
          </w:tcPr>
          <w:p>
            <w:pPr>
              <w:spacing w:line="360" w:lineRule="auto"/>
              <w:ind w:left="49"/>
              <w:rPr>
                <w:rFonts w:hint="eastAsia" w:ascii="宋体" w:hAnsi="宋体" w:eastAsia="宋体" w:cs="宋体"/>
                <w:color w:val="000000"/>
                <w:sz w:val="24"/>
                <w:szCs w:val="24"/>
              </w:rPr>
            </w:pPr>
            <w:r>
              <w:rPr>
                <w:rFonts w:hint="eastAsia" w:ascii="宋体" w:hAnsi="宋体" w:eastAsia="宋体" w:cs="宋体"/>
                <w:color w:val="000000"/>
                <w:sz w:val="24"/>
                <w:szCs w:val="24"/>
              </w:rPr>
              <w:t>项目实施方案（3分）</w:t>
            </w:r>
          </w:p>
        </w:tc>
        <w:tc>
          <w:tcPr>
            <w:tcW w:w="6573" w:type="dxa"/>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供应商针对本项目的理解进行阐述，提供详细完整的实施方案。整体实施流程按时间顺序（签订合同后、交付产品、安装调试、申请并最终通过验收）的叙述（文字描述或图示）等内容：</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对本项目实施方案描述详细全面，具有针对性、方案切实可行，流程规范标准：3分；</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对本项目的实施方案有所描述但较简略，针对性一般，方案具备可行性，流程规范标准性一般：2分；</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对本项目实施方案描述但内容十分简单，无针对性，方案可行性一般：1分；</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2ZGYzZDgyZDJhOTExZDBjZDYyNjg4Njk4NWIzYzgifQ=="/>
  </w:docVars>
  <w:rsids>
    <w:rsidRoot w:val="2B4654BA"/>
    <w:rsid w:val="067F704E"/>
    <w:rsid w:val="07532D41"/>
    <w:rsid w:val="128D16EC"/>
    <w:rsid w:val="19590B95"/>
    <w:rsid w:val="2B4654BA"/>
    <w:rsid w:val="37211993"/>
    <w:rsid w:val="37DA1552"/>
    <w:rsid w:val="38991793"/>
    <w:rsid w:val="38C620D1"/>
    <w:rsid w:val="3C1F423C"/>
    <w:rsid w:val="3F575D67"/>
    <w:rsid w:val="47907872"/>
    <w:rsid w:val="55186033"/>
    <w:rsid w:val="590051EC"/>
    <w:rsid w:val="59EB7A38"/>
    <w:rsid w:val="5C417941"/>
    <w:rsid w:val="603F5180"/>
    <w:rsid w:val="636765BF"/>
    <w:rsid w:val="67D92E14"/>
    <w:rsid w:val="68571B38"/>
    <w:rsid w:val="6B323C21"/>
    <w:rsid w:val="6D2958BE"/>
    <w:rsid w:val="6D442083"/>
    <w:rsid w:val="70660ED1"/>
    <w:rsid w:val="70CC786A"/>
    <w:rsid w:val="71B10689"/>
    <w:rsid w:val="75A169B1"/>
    <w:rsid w:val="77421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kern w:val="0"/>
      <w:sz w:val="20"/>
      <w:szCs w:val="21"/>
      <w:lang w:val="zh-CN"/>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6">
    <w:name w:val="首行缩进"/>
    <w:basedOn w:val="1"/>
    <w:qFormat/>
    <w:uiPriority w:val="0"/>
    <w:pPr>
      <w:spacing w:line="360" w:lineRule="auto"/>
      <w:ind w:firstLine="480" w:firstLineChars="200"/>
    </w:pPr>
    <w:rPr>
      <w:rFonts w:ascii="Times New Roman" w:hAnsi="Times New Roman" w:eastAsia="宋体" w:cs="Times New Roman"/>
      <w:sz w:val="24"/>
      <w:szCs w:val="24"/>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2022-09-07T01:12:00Z</dcterms:created>
  <dc:creator>刘晓梅</dc:creator>
  <cp:lastModifiedBy>刘晓梅</cp:lastModifiedBy>
  <dcterms:modified xsi:type="dcterms:W3CDTF">2022-09-07T01:13:29Z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4B15A45F5634448989CD2123AEB2536B</vt:lpwstr>
  </property>
</Properties>
</file>