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2"/>
          <w:lang w:val="en-US" w:eastAsia="zh-CN"/>
        </w:rPr>
      </w:pPr>
      <w:r>
        <w:rPr>
          <w:rFonts w:hint="eastAsia"/>
          <w:b/>
          <w:bCs/>
          <w:sz w:val="28"/>
          <w:szCs w:val="32"/>
          <w:lang w:val="en-US" w:eastAsia="zh-CN"/>
        </w:rPr>
        <w:t>开发鸡新城疫抗体水平测定虚拟仿真系统参数</w:t>
      </w:r>
      <w:bookmarkStart w:id="0" w:name="_GoBack"/>
      <w:bookmarkEnd w:id="0"/>
    </w:p>
    <w:p>
      <w:pPr>
        <w:pStyle w:val="2"/>
        <w:rPr>
          <w:rFonts w:hint="eastAsia"/>
          <w:lang w:val="en-US" w:eastAsia="zh-CN"/>
        </w:rPr>
      </w:pPr>
    </w:p>
    <w:tbl>
      <w:tblPr>
        <w:tblStyle w:val="6"/>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19"/>
        <w:gridCol w:w="6315"/>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561" w:type="dxa"/>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商品名称</w:t>
            </w:r>
          </w:p>
        </w:tc>
        <w:tc>
          <w:tcPr>
            <w:tcW w:w="81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模块</w:t>
            </w:r>
          </w:p>
        </w:tc>
        <w:tc>
          <w:tcPr>
            <w:tcW w:w="631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技术参数</w:t>
            </w:r>
          </w:p>
        </w:tc>
        <w:tc>
          <w:tcPr>
            <w:tcW w:w="743"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561" w:type="dxa"/>
            <w:vMerge w:val="restart"/>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柑鸡新城疫抗体水平测定虚拟仿真系统</w:t>
            </w:r>
          </w:p>
        </w:tc>
        <w:tc>
          <w:tcPr>
            <w:tcW w:w="81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要求</w:t>
            </w:r>
          </w:p>
        </w:tc>
        <w:tc>
          <w:tcPr>
            <w:tcW w:w="631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1.开发后软件要求分辨率在1920*1080以上。在PC端支持win7、win10在内的主流操作系统，软件运行稳定，安全性高，支持云渲染技术，移动版支持安卓、ios等系统。</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2.流畅性：确保系统展示时过程流畅，平滑连续，响应及时。</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易用性和友好性：系统内嵌提醒帮助机制，在各个子界面中，设计文本提示框等信息。软件采用面向对象设计，操作者通过对话框、菜单等简便的操作，能够对软件进行应用；界面设计：菜单栏、视图窗口、属性窗口、对话框等，满足虚拟实验管理和操作的需要。</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4.软件可同时配备移动版本、电脑版本、校园网络版且能与学院现有平台兼容。</w:t>
            </w:r>
          </w:p>
        </w:tc>
        <w:tc>
          <w:tcPr>
            <w:tcW w:w="743"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trPr>
        <w:tc>
          <w:tcPr>
            <w:tcW w:w="561" w:type="dxa"/>
            <w:vMerge w:val="continue"/>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c>
          <w:tcPr>
            <w:tcW w:w="81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仿真</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模块</w:t>
            </w:r>
          </w:p>
        </w:tc>
        <w:tc>
          <w:tcPr>
            <w:tcW w:w="631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系统可以仿真鸡新城疫抗体水平测定全部过程，提供实训平台、网管中心、教学资源、考试系统、个人中心等模块。实现操作者竞赛流程的分值判定，能根据操作人员的问题指出错误之处，并提供正确操作方法解答。</w:t>
            </w:r>
          </w:p>
          <w:p>
            <w:pPr>
              <w:pStyle w:val="4"/>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eastAsia" w:ascii="仿宋" w:hAnsi="仿宋" w:eastAsia="仿宋" w:cs="仿宋"/>
                <w:sz w:val="24"/>
                <w:szCs w:val="24"/>
                <w:lang w:val="en-US" w:eastAsia="zh-CN"/>
              </w:rPr>
            </w:pPr>
            <w:r>
              <w:rPr>
                <w:rFonts w:hint="eastAsia" w:ascii="宋体" w:hAnsi="宋体" w:eastAsia="宋体" w:cs="宋体"/>
                <w:sz w:val="18"/>
                <w:szCs w:val="18"/>
                <w:lang w:val="en-US" w:eastAsia="zh-CN"/>
              </w:rPr>
              <w:t>❊</w:t>
            </w:r>
            <w:r>
              <w:rPr>
                <w:rFonts w:hint="eastAsia" w:ascii="仿宋" w:hAnsi="仿宋" w:eastAsia="仿宋" w:cs="仿宋"/>
                <w:sz w:val="24"/>
                <w:szCs w:val="24"/>
                <w:lang w:val="en-US" w:eastAsia="zh-CN"/>
              </w:rPr>
              <w:t>2.教学资源库中需包含教学课件、实训指导书、指导视频等资料，并附带</w:t>
            </w:r>
            <w:r>
              <w:rPr>
                <w:rFonts w:hint="default" w:ascii="仿宋" w:hAnsi="仿宋" w:eastAsia="仿宋" w:cs="仿宋"/>
                <w:sz w:val="24"/>
                <w:szCs w:val="24"/>
                <w:lang w:val="en-US" w:eastAsia="zh-CN"/>
              </w:rPr>
              <w:t>规模化鸡养殖场生物安全</w:t>
            </w:r>
            <w:r>
              <w:rPr>
                <w:rFonts w:hint="eastAsia" w:ascii="仿宋" w:hAnsi="仿宋" w:eastAsia="仿宋" w:cs="仿宋"/>
                <w:sz w:val="24"/>
                <w:szCs w:val="24"/>
                <w:lang w:val="en-US" w:eastAsia="zh-CN"/>
              </w:rPr>
              <w:t>及家禽</w:t>
            </w:r>
            <w:r>
              <w:rPr>
                <w:rFonts w:hint="default" w:ascii="仿宋" w:hAnsi="仿宋" w:eastAsia="仿宋" w:cs="仿宋"/>
                <w:sz w:val="24"/>
                <w:szCs w:val="24"/>
                <w:lang w:val="en-US" w:eastAsia="zh-CN"/>
              </w:rPr>
              <w:t>免疫</w:t>
            </w:r>
            <w:r>
              <w:rPr>
                <w:rFonts w:hint="eastAsia" w:ascii="仿宋" w:hAnsi="仿宋" w:eastAsia="仿宋" w:cs="仿宋"/>
                <w:sz w:val="24"/>
                <w:szCs w:val="24"/>
                <w:lang w:val="en-US" w:eastAsia="zh-CN"/>
              </w:rPr>
              <w:t>资源</w:t>
            </w:r>
            <w:r>
              <w:rPr>
                <w:rFonts w:hint="default" w:ascii="仿宋" w:hAnsi="仿宋" w:eastAsia="仿宋" w:cs="仿宋"/>
                <w:sz w:val="24"/>
                <w:szCs w:val="24"/>
                <w:lang w:val="en-US" w:eastAsia="zh-CN"/>
              </w:rPr>
              <w:t>库</w:t>
            </w:r>
            <w:r>
              <w:rPr>
                <w:rFonts w:hint="eastAsia" w:ascii="仿宋" w:hAnsi="仿宋" w:eastAsia="仿宋" w:cs="仿宋"/>
                <w:sz w:val="24"/>
                <w:szCs w:val="24"/>
                <w:lang w:val="en-US" w:eastAsia="zh-CN"/>
              </w:rPr>
              <w:t>，如</w:t>
            </w:r>
            <w:r>
              <w:rPr>
                <w:rFonts w:hint="default" w:ascii="仿宋" w:hAnsi="仿宋" w:eastAsia="仿宋" w:cs="仿宋"/>
                <w:sz w:val="24"/>
                <w:szCs w:val="24"/>
                <w:lang w:val="en-US" w:eastAsia="zh-CN"/>
              </w:rPr>
              <w:t>鸡的保定</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点眼免疫</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滴鼻免疫</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刺种免疫</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注射免疫</w:t>
            </w:r>
            <w:r>
              <w:rPr>
                <w:rFonts w:hint="eastAsia" w:ascii="仿宋" w:hAnsi="仿宋" w:eastAsia="仿宋" w:cs="仿宋"/>
                <w:sz w:val="24"/>
                <w:szCs w:val="24"/>
                <w:lang w:val="en-US" w:eastAsia="zh-CN"/>
              </w:rPr>
              <w:t>、</w:t>
            </w:r>
            <w:r>
              <w:rPr>
                <w:rFonts w:hint="default" w:ascii="仿宋" w:hAnsi="仿宋" w:eastAsia="仿宋" w:cs="仿宋"/>
                <w:sz w:val="24"/>
                <w:szCs w:val="24"/>
                <w:lang w:val="en-US" w:eastAsia="zh-CN"/>
              </w:rPr>
              <w:t>饮水免疫</w:t>
            </w:r>
            <w:r>
              <w:rPr>
                <w:rFonts w:hint="eastAsia" w:ascii="仿宋" w:hAnsi="仿宋" w:eastAsia="仿宋" w:cs="仿宋"/>
                <w:sz w:val="24"/>
                <w:szCs w:val="24"/>
                <w:lang w:val="en-US" w:eastAsia="zh-CN"/>
              </w:rPr>
              <w:t>、突发传染病汇报</w:t>
            </w:r>
            <w:r>
              <w:rPr>
                <w:rFonts w:hint="default" w:ascii="仿宋" w:hAnsi="仿宋" w:eastAsia="仿宋" w:cs="仿宋"/>
                <w:sz w:val="24"/>
                <w:szCs w:val="24"/>
                <w:lang w:val="en-US" w:eastAsia="zh-CN"/>
              </w:rPr>
              <w:t>流程</w:t>
            </w:r>
            <w:r>
              <w:rPr>
                <w:rFonts w:hint="eastAsia" w:ascii="仿宋" w:hAnsi="仿宋" w:eastAsia="仿宋" w:cs="仿宋"/>
                <w:sz w:val="24"/>
                <w:szCs w:val="24"/>
                <w:lang w:val="en-US" w:eastAsia="zh-CN"/>
              </w:rPr>
              <w:t>、无害化处理</w:t>
            </w:r>
            <w:r>
              <w:rPr>
                <w:rFonts w:hint="default" w:ascii="仿宋" w:hAnsi="仿宋" w:eastAsia="仿宋" w:cs="仿宋"/>
                <w:sz w:val="24"/>
                <w:szCs w:val="24"/>
                <w:lang w:val="en-US" w:eastAsia="zh-CN"/>
              </w:rPr>
              <w:t>及</w:t>
            </w:r>
            <w:r>
              <w:rPr>
                <w:rFonts w:hint="eastAsia" w:ascii="仿宋" w:hAnsi="仿宋" w:eastAsia="仿宋" w:cs="仿宋"/>
                <w:sz w:val="24"/>
                <w:szCs w:val="24"/>
                <w:lang w:val="en-US" w:eastAsia="zh-CN"/>
              </w:rPr>
              <w:t>消毒流程。可供学生远程学习及下载以配合教学。</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3.软件提供考试系统，需要配套《养禽与禽病防治》相关知识题库，学生能够通过系统自动抽取题目进行考试，提交试卷后系统自动评分，教师端可以查看学生答题情况。</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项目可自由创建分组教学（教学内容包含但不限于虚拟仿真资源、音频资源、视频资源、PPT等教学资源），所创建分组教学需在移动端生成模块化课程并且可以进行教学以及结果反馈，或与第三方平台进行兼容连接。</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5.个人中心可登录、退出账号，并清空数据信息等功能。</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6.数据信息采用逻辑方式存放学生操作内容，支持服务器处理及下发客户端处理信息并反馈。</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7.支持教学管理功能，提供学生账号创建、导入、清除，以便教学实训管理。</w:t>
            </w:r>
          </w:p>
        </w:tc>
        <w:tc>
          <w:tcPr>
            <w:tcW w:w="743"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6" w:hRule="atLeast"/>
        </w:trPr>
        <w:tc>
          <w:tcPr>
            <w:tcW w:w="561" w:type="dxa"/>
            <w:vMerge w:val="continue"/>
            <w:noWrap w:val="0"/>
            <w:vAlign w:val="top"/>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c>
          <w:tcPr>
            <w:tcW w:w="81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具体</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内容</w:t>
            </w:r>
          </w:p>
        </w:tc>
        <w:tc>
          <w:tcPr>
            <w:tcW w:w="631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实验的核心技能是鸡的采血方法，1%鸡红细胞悬液制备，血凝试验操作，4单位抗原标定与配制，血凝抑制试验操作，抗体滴度报告，检测结果分析等技能。本赛项考核的核心知识是动物微生物的特性与检测、免疫的基本知识与应用、动物传染病防控等有关内容。</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1.实验器材准备</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规范进行器材准备，要求器材选择正确，摆放有序，物品标识合理，桌面整洁等。</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2.1%鸡红细胞悬液制备</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按照国标（GB/T 16550-2020 新城疫诊断技术）要求进行采血、离心、洗涤、配制1%鸡红细胞悬液。要求采血规范、熟练、采血量适量、离心机使用规范、洗涤次数及洗涤时间适宜、制备过程规范、配制的1%鸡红细胞量适宜等。</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2.1用枸橼酸钠作为抗凝剂,要采集SPF公鸡或无新城疫抗体的非免疫鸡的抗凝血液。</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2.2向离心管内加入3倍～4倍体积的PBS混匀,以2000r/min离心5min～10min</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2.3用移液枪吸出血浆和白细胞层,并加入PBS无菌生理盐水吹吸混匀。</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2.4重复此过程3～4次，至洗净血浆和白细胞。</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2.5最后2000r/min离心10min后吸取压积红细胞并配置成体积分数为1%的悬液，于4℃保存备用。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3血凝试验</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按照国标（GB/T 16550-2020 新城疫诊断技术）要求，用微量移液器在96孔V型血凝反应板1～12孔加入稀释液，在第1孔加入新城疫标准抗原、充分混匀、倍比稀释到第11孔，1～12孔再次加入稀释液，然后加入1%鸡红细胞悬液，充分振荡混匀或轻扣混匀，静置感作适当时间后，正确判定抗原的血凝效价。要求微量移液器使用规范、倍比稀释操作规范、结果判定正确等。</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3.1移液枪的选择和使用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（1）在96孔V型微量血凝板1孔～12孔均加入25μLPBS。</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（2）在第1孔中加入25μL抗原或病毒悬液,吹打3次～5次，充分混匀。</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3.2待测样本的稀释</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（1)将抗原或病毒悬液在反应板上进行系列倍比稀释,即从第1孔中吸取25μL悬液至第2孔,混匀后再吸取25μL悬液至第3孔,依次进行倍比稀释到第11孔,最后从第11孔吸取25μL弃去,第12孔不加抗原或病毒悬液,作为PBS对照。</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（2)每孔加入25μLPBS。</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每孔加入25μL体积分数为1%的鸡红细胞悬液(将鸡红细胞悬液充分摇匀后加入)。将微量反应板在微型振荡器振荡混匀或轻扣反应板混匀反应物，室温静置20min～30min或2℃～8℃静置60min,当对照孔(第12孔)红细胞呈显著纽扣状时判定结果。</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3.3结果判定</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将反应板倾斜,观察红细胞有无泪珠状流淌。</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（1)以完全凝集(不流淌)的最高稀释倍数为抗原或病毒悬液的血凝效价。</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（2）完全凝集的病毒的最高稀释倍数为1个血凝单位(HAU)。</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4单位抗原标定与配制</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根据血凝试验结果，按照国标（GB/T 16550-2020 新城疫诊断技术）要求配制4单位抗原。要求稀释倍数计算正确，稀释液体积加入得当、4单位抗原配制量适宜等。按照国标（GB/T 16550-2020 新城疫诊断技术）要求进行4单位抗原的标定。将配制的4单位抗原进行系列稀释，使最终稀释度分别为1:2、1:3、1:4、1:5、1:6、1:7，然后进行血凝试验，并根据标定结果将抗原稀释度作适当调整。</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5血凝抑制试验</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按照国标（GB/T 16550-2020 新城疫诊断技术）要求，对20个被检血清进行血凝抑制试验操作，并设新城疫阳性血清对照、阴性血清对照；正确读取阴性血清、阳性血清及被检血清的结果，确定抗体滴度，完成报告。要求微量移液器使用规范、反应板各孔稀释正确、感作时间得当、对照成立、结果判定正确等。</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（1）取96孔V型微量血凝板,用移液器在第1孔～第11孔各加人25μLPBS,第12孔加入50μLPBS。</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（2）在第1孔加入25μL血清,充分混匀后移出25μL至第2孔,依次类推,倍比稀释至第10孔,并从第10孔弃除25μL。</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（3）在第1孔～第11孔各加入25μL4HAU抗原，振荡15s,使液体混合均匀,室温静置至少20min或2℃～8℃至少60min。</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（4）在第1孔～第12孔每孔加入25μL1%的鸡红细胞悬液,振荡混匀,室温静置20min～40min或2℃～8℃静置40min～60min,对照孔红细胞呈显著纽扣状时判定结果。</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（5）第11孔为抗原对照,第12孔为PBS对照，每次测定还应设已知效价的标准阳性血清和阴性血清作对照。</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（6）结果判定</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将反应板倾斜,从背侧观察加样孔底部的红细胞是否呈泪痕状流淌。以完全抑制4HAU抗原的最高血清稀释倍数为该血清的HI抗体效价。只有当阴性血清对照孔血清效价≤2log2,阳性血清对照孔血清效价与标定效价相差≤1个滴度,红细胞对照无自凝现象时，试验结果有效。HI效价≤3log2,判为HI试验阴性;HI效价≥4log2判为HI试验阳性。</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6.抗体滴度报告</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按照国标（GB/T 16550-2020 新城疫诊断技术）要求，正确判定抗体滴度，完成报告。要求抗体滴度判读正确、报告方式正确、结果误差符合要求及场地整洁等。</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7.结果分析</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对检测结果进行分析。</w:t>
            </w:r>
          </w:p>
        </w:tc>
        <w:tc>
          <w:tcPr>
            <w:tcW w:w="743"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61"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sz w:val="24"/>
                <w:szCs w:val="24"/>
                <w:lang w:val="en-US" w:eastAsia="zh-CN"/>
              </w:rPr>
            </w:pPr>
          </w:p>
        </w:tc>
        <w:tc>
          <w:tcPr>
            <w:tcW w:w="819"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w:t>
            </w:r>
          </w:p>
        </w:tc>
        <w:tc>
          <w:tcPr>
            <w:tcW w:w="631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仿宋" w:hAnsi="仿宋" w:eastAsia="仿宋" w:cs="仿宋"/>
                <w:sz w:val="24"/>
                <w:szCs w:val="24"/>
                <w:lang w:val="en-US" w:eastAsia="zh-CN"/>
              </w:rPr>
            </w:pPr>
            <w:r>
              <w:rPr>
                <w:rFonts w:hint="eastAsia" w:ascii="微软雅黑" w:hAnsi="微软雅黑" w:eastAsia="微软雅黑" w:cs="微软雅黑"/>
                <w:sz w:val="20"/>
                <w:szCs w:val="20"/>
                <w:lang w:val="en-US" w:eastAsia="zh-CN"/>
              </w:rPr>
              <w:t>❊</w:t>
            </w:r>
            <w:r>
              <w:rPr>
                <w:rFonts w:hint="eastAsia" w:ascii="仿宋" w:hAnsi="仿宋" w:eastAsia="仿宋" w:cs="仿宋"/>
                <w:sz w:val="24"/>
                <w:szCs w:val="24"/>
                <w:lang w:val="en-US" w:eastAsia="zh-CN"/>
              </w:rPr>
              <w:t>1.协助申报软件著作权，著作权归使用方全部所有；免费协助申报虚拟仿真实训基地项目、竞赛项目、教学能力大赛项目等，供应商需要提供必要的支持与配合，包括但不限于文字、资料、项目技术支持、赞助。</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2.可根据使用方要求，对产品进行个性化免费升级，以达到使用方竞赛需求。</w:t>
            </w:r>
          </w:p>
        </w:tc>
        <w:tc>
          <w:tcPr>
            <w:tcW w:w="743"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MDc5OTZlMjU0MWVkMjBmMGJmYjhiMzllYjgwMmIifQ=="/>
  </w:docVars>
  <w:rsids>
    <w:rsidRoot w:val="1CF12DCB"/>
    <w:rsid w:val="1CF12DCB"/>
    <w:rsid w:val="26BE3A6D"/>
    <w:rsid w:val="2860600B"/>
    <w:rsid w:val="38AB3E76"/>
    <w:rsid w:val="48D03B23"/>
    <w:rsid w:val="4D8335FE"/>
    <w:rsid w:val="7FE8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qFormat/>
    <w:uiPriority w:val="99"/>
    <w:pPr>
      <w:ind w:left="121"/>
    </w:pPr>
    <w:rPr>
      <w:rFonts w:ascii="宋体" w:hAnsi="宋体"/>
      <w:kern w:val="0"/>
      <w:szCs w:val="21"/>
      <w:lang w:eastAsia="en-US"/>
    </w:rPr>
  </w:style>
  <w:style w:type="paragraph" w:styleId="4">
    <w:name w:val="Normal Indent"/>
    <w:basedOn w:val="1"/>
    <w:qFormat/>
    <w:uiPriority w:val="0"/>
    <w:pPr>
      <w:ind w:firstLine="42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2662</Words>
  <Characters>2996</Characters>
  <Lines>0</Lines>
  <Paragraphs>0</Paragraphs>
  <TotalTime>2</TotalTime>
  <ScaleCrop>false</ScaleCrop>
  <LinksUpToDate>false</LinksUpToDate>
  <CharactersWithSpaces>3009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2022-06-22T12:43:00Z</dcterms:created>
  <dc:creator>宝贝</dc:creator>
  <cp:lastModifiedBy>春风放胆来梳柳</cp:lastModifiedBy>
  <dcterms:modified xsi:type="dcterms:W3CDTF">2022-06-24T02:37:26Z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9658264250D34369BB8144E9F9066D41</vt:lpwstr>
  </property>
</Properties>
</file>