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D7" w:rsidRPr="00730CDC" w:rsidRDefault="00C03DD7" w:rsidP="00C03DD7">
      <w:pPr>
        <w:spacing w:line="52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730CDC">
        <w:rPr>
          <w:rFonts w:ascii="仿宋" w:eastAsia="仿宋" w:hAnsi="仿宋" w:hint="eastAsia"/>
          <w:b/>
          <w:color w:val="000000" w:themeColor="text1"/>
          <w:sz w:val="28"/>
          <w:szCs w:val="28"/>
        </w:rPr>
        <w:t>附件1：</w:t>
      </w:r>
    </w:p>
    <w:p w:rsidR="00C03DD7" w:rsidRPr="00730CDC" w:rsidRDefault="00C03DD7" w:rsidP="00C03DD7">
      <w:pPr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730CDC">
        <w:rPr>
          <w:rFonts w:ascii="仿宋" w:eastAsia="仿宋" w:hAnsi="仿宋" w:hint="eastAsia"/>
          <w:color w:val="000000" w:themeColor="text1"/>
          <w:sz w:val="28"/>
          <w:szCs w:val="28"/>
        </w:rPr>
        <w:t>考试招聘工作人员岗位和条件要求一览表</w:t>
      </w:r>
    </w:p>
    <w:tbl>
      <w:tblPr>
        <w:tblpPr w:leftFromText="180" w:rightFromText="180" w:vertAnchor="text" w:horzAnchor="margin" w:tblpXSpec="center" w:tblpY="145"/>
        <w:tblW w:w="15132" w:type="dxa"/>
        <w:tblLook w:val="04A0" w:firstRow="1" w:lastRow="0" w:firstColumn="1" w:lastColumn="0" w:noHBand="0" w:noVBand="1"/>
      </w:tblPr>
      <w:tblGrid>
        <w:gridCol w:w="436"/>
        <w:gridCol w:w="991"/>
        <w:gridCol w:w="578"/>
        <w:gridCol w:w="578"/>
        <w:gridCol w:w="578"/>
        <w:gridCol w:w="1079"/>
        <w:gridCol w:w="688"/>
        <w:gridCol w:w="709"/>
        <w:gridCol w:w="436"/>
        <w:gridCol w:w="556"/>
        <w:gridCol w:w="2551"/>
        <w:gridCol w:w="1181"/>
        <w:gridCol w:w="851"/>
        <w:gridCol w:w="530"/>
        <w:gridCol w:w="736"/>
        <w:gridCol w:w="1583"/>
        <w:gridCol w:w="1071"/>
      </w:tblGrid>
      <w:tr w:rsidR="00C03DD7" w:rsidRPr="00730CDC" w:rsidTr="00D62D99">
        <w:trPr>
          <w:trHeight w:val="58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经费渠道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岗位</w:t>
            </w:r>
          </w:p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招聘名额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招聘范围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74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招聘岗位资格条件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C03DD7" w:rsidRPr="00730CDC" w:rsidTr="00D62D99">
        <w:trPr>
          <w:trHeight w:val="675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学科或专业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岗位</w:t>
            </w:r>
          </w:p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职责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学历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学位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年龄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2"/>
              </w:rPr>
              <w:t>其它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03DD7" w:rsidRPr="00730CDC" w:rsidTr="00D62D99">
        <w:trPr>
          <w:trHeight w:val="13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眉山职业技术学院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公办高校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财政全额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190003001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全国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本科：数字媒体艺术专业、游戏科技专业、数字媒体技术专业、动漫专业</w:t>
            </w:r>
          </w:p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研究生：数字媒体艺术专业、数字媒体技术专业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承担数字媒体艺术设计专业技能课教学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全日制普通高校大学本科及以上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报考人员须具有3年及以上从事与专业相同或相近的实践工作经历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最低服务年限5年</w:t>
            </w:r>
          </w:p>
        </w:tc>
      </w:tr>
      <w:tr w:rsidR="00C03DD7" w:rsidRPr="00730CDC" w:rsidTr="00D62D99">
        <w:trPr>
          <w:trHeight w:val="13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眉山职业技术学院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公办高校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财政全额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190003002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全国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本科：体育教育专业</w:t>
            </w:r>
          </w:p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研究生：体育学专业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承担学前教育专业幼儿体育技能课教学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全日制普通高校大学本科及以上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报考人员须具有3年及以上从事与专业相同或相近的实践工作经历以及中级职称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最低服务年限5年</w:t>
            </w:r>
          </w:p>
        </w:tc>
      </w:tr>
      <w:tr w:rsidR="00C03DD7" w:rsidRPr="00730CDC" w:rsidTr="00D62D99">
        <w:trPr>
          <w:trHeight w:val="11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眉山职业技术学院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公办高校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财政全额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190003003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全国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本科：车辆工程专业、机械工程专业、机械电子工程专业</w:t>
            </w:r>
          </w:p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研究生：车辆工程专业、机械工程专业、机械电子工程专业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承担汽车检测与维修技术专业技能课教学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全日制普通高校大学本科及以上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报考人员须具有3年及以上从事与专业相同或相近的实践工作经历以及技师资格证书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或相当层次的专业技术职称资格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DD7" w:rsidRPr="00730CDC" w:rsidRDefault="00C03DD7" w:rsidP="00D62D99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730CDC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最低服务年限5年</w:t>
            </w:r>
          </w:p>
        </w:tc>
      </w:tr>
    </w:tbl>
    <w:p w:rsidR="000C58A3" w:rsidRPr="00C03DD7" w:rsidRDefault="000C58A3" w:rsidP="00C03DD7">
      <w:bookmarkStart w:id="0" w:name="_GoBack"/>
      <w:bookmarkEnd w:id="0"/>
    </w:p>
    <w:sectPr w:rsidR="000C58A3" w:rsidRPr="00C03DD7" w:rsidSect="00BA4C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05"/>
    <w:rsid w:val="000C58A3"/>
    <w:rsid w:val="008A328B"/>
    <w:rsid w:val="00BA4C05"/>
    <w:rsid w:val="00C0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周彩虹</dc:creator>
  <cp:lastModifiedBy>周彩虹</cp:lastModifiedBy>
  <cp:revision>3</cp:revision>
  <dcterms:created xsi:type="dcterms:W3CDTF">2019-07-19T06:33:00Z</dcterms:created>
  <dcterms:modified xsi:type="dcterms:W3CDTF">2019-07-25T00:48:00Z</dcterms:modified>
</cp:coreProperties>
</file>