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45C1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jc w:val="left"/>
        <w:textAlignment w:val="auto"/>
        <w:rPr>
          <w:rFonts w:eastAsia="黑体"/>
          <w:color w:val="000000"/>
          <w:sz w:val="32"/>
          <w:szCs w:val="32"/>
        </w:rPr>
      </w:pPr>
      <w:bookmarkStart w:id="0" w:name="_GoBack"/>
      <w:r>
        <w:rPr>
          <w:rFonts w:eastAsia="黑体"/>
          <w:color w:val="000000"/>
          <w:sz w:val="32"/>
          <w:szCs w:val="32"/>
        </w:rPr>
        <w:t>附件1</w:t>
      </w:r>
    </w:p>
    <w:p w14:paraId="6F5807F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exact"/>
        <w:jc w:val="left"/>
        <w:textAlignment w:val="auto"/>
        <w:rPr>
          <w:rFonts w:eastAsia="黑体"/>
          <w:color w:val="000000"/>
          <w:sz w:val="32"/>
          <w:szCs w:val="32"/>
        </w:rPr>
      </w:pPr>
    </w:p>
    <w:p w14:paraId="76ED1F3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700" w:lineRule="exact"/>
        <w:jc w:val="center"/>
        <w:textAlignment w:val="auto"/>
        <w:rPr>
          <w:rFonts w:eastAsia="方正小标宋简体"/>
          <w:color w:val="000000"/>
          <w:kern w:val="0"/>
          <w:sz w:val="44"/>
          <w:szCs w:val="44"/>
        </w:rPr>
      </w:pPr>
      <w:r>
        <w:rPr>
          <w:rFonts w:eastAsia="方正小标宋简体"/>
          <w:color w:val="000000"/>
          <w:kern w:val="0"/>
          <w:sz w:val="44"/>
          <w:szCs w:val="44"/>
        </w:rPr>
        <w:t>眉山市</w:t>
      </w:r>
      <w:r>
        <w:rPr>
          <w:rFonts w:hint="default" w:eastAsia="方正小标宋简体"/>
          <w:color w:val="000000"/>
          <w:kern w:val="0"/>
          <w:sz w:val="44"/>
          <w:szCs w:val="44"/>
        </w:rPr>
        <w:t>“研究阐释党的二十届四中全会精神”</w:t>
      </w:r>
    </w:p>
    <w:p w14:paraId="5E03605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700" w:lineRule="exact"/>
        <w:jc w:val="center"/>
        <w:textAlignment w:val="auto"/>
        <w:rPr>
          <w:rFonts w:eastAsia="方正小标宋简体"/>
          <w:color w:val="000000"/>
          <w:kern w:val="0"/>
          <w:sz w:val="44"/>
          <w:szCs w:val="44"/>
        </w:rPr>
      </w:pPr>
      <w:r>
        <w:rPr>
          <w:rFonts w:hint="default" w:eastAsia="方正小标宋简体"/>
          <w:color w:val="000000"/>
          <w:kern w:val="0"/>
          <w:sz w:val="44"/>
          <w:szCs w:val="44"/>
        </w:rPr>
        <w:t>专项</w:t>
      </w:r>
      <w:r>
        <w:rPr>
          <w:rFonts w:eastAsia="方正小标宋简体"/>
          <w:color w:val="000000"/>
          <w:kern w:val="0"/>
          <w:sz w:val="44"/>
          <w:szCs w:val="44"/>
        </w:rPr>
        <w:t>课题指南</w:t>
      </w:r>
    </w:p>
    <w:bookmarkEnd w:id="0"/>
    <w:p w14:paraId="5CC4273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jc w:val="left"/>
        <w:textAlignment w:val="auto"/>
        <w:rPr>
          <w:rFonts w:eastAsia="楷体_GB2312"/>
          <w:sz w:val="32"/>
          <w:szCs w:val="32"/>
        </w:rPr>
      </w:pPr>
    </w:p>
    <w:p w14:paraId="232F3C11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1. </w:t>
      </w:r>
      <w:r>
        <w:rPr>
          <w:rFonts w:hint="eastAsia" w:ascii="Times New Roman" w:hAnsi="Times New Roman" w:eastAsia="仿宋_GB2312"/>
          <w:bCs/>
          <w:sz w:val="32"/>
          <w:szCs w:val="32"/>
        </w:rPr>
        <w:t>加快新能源、新材料、</w:t>
      </w:r>
      <w:r>
        <w:rPr>
          <w:rFonts w:ascii="Times New Roman" w:hAnsi="Times New Roman" w:eastAsia="仿宋_GB2312"/>
          <w:bCs/>
          <w:sz w:val="32"/>
          <w:szCs w:val="32"/>
        </w:rPr>
        <w:t>生物医药、</w:t>
      </w:r>
      <w:r>
        <w:rPr>
          <w:rFonts w:hint="eastAsia" w:ascii="Times New Roman" w:hAnsi="Times New Roman" w:eastAsia="仿宋_GB2312"/>
          <w:bCs/>
          <w:sz w:val="32"/>
          <w:szCs w:val="32"/>
        </w:rPr>
        <w:t>航空航天、低空经济等产业集群发展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67094EE9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2. </w:t>
      </w:r>
      <w:r>
        <w:rPr>
          <w:rFonts w:hint="eastAsia" w:ascii="Times New Roman" w:hAnsi="Times New Roman" w:eastAsia="仿宋_GB2312"/>
          <w:sz w:val="32"/>
          <w:szCs w:val="32"/>
        </w:rPr>
        <w:t>促进</w:t>
      </w:r>
      <w:r>
        <w:rPr>
          <w:rFonts w:hint="eastAsia" w:ascii="Times New Roman" w:hAnsi="Times New Roman" w:eastAsia="仿宋_GB2312"/>
          <w:bCs/>
          <w:sz w:val="32"/>
          <w:szCs w:val="32"/>
        </w:rPr>
        <w:t>中小企业专精特新</w:t>
      </w:r>
      <w:r>
        <w:rPr>
          <w:rFonts w:hint="eastAsia" w:ascii="Times New Roman" w:hAnsi="Times New Roman" w:eastAsia="仿宋_GB2312"/>
          <w:sz w:val="32"/>
          <w:szCs w:val="32"/>
        </w:rPr>
        <w:t>发展，壮大科技领军企业，培育</w:t>
      </w:r>
      <w:r>
        <w:rPr>
          <w:rFonts w:hint="eastAsia" w:ascii="Times New Roman" w:hAnsi="Times New Roman" w:eastAsia="仿宋_GB2312"/>
          <w:bCs/>
          <w:sz w:val="32"/>
          <w:szCs w:val="32"/>
        </w:rPr>
        <w:t>独角兽</w:t>
      </w:r>
      <w:r>
        <w:rPr>
          <w:rFonts w:hint="eastAsia" w:ascii="Times New Roman" w:hAnsi="Times New Roman" w:eastAsia="仿宋_GB2312"/>
          <w:sz w:val="32"/>
          <w:szCs w:val="32"/>
        </w:rPr>
        <w:t>企业</w:t>
      </w:r>
      <w:r>
        <w:rPr>
          <w:rFonts w:ascii="Times New Roman" w:hAnsi="Times New Roman" w:eastAsia="仿宋_GB2312"/>
          <w:sz w:val="32"/>
          <w:szCs w:val="32"/>
        </w:rPr>
        <w:t>研究</w:t>
      </w:r>
    </w:p>
    <w:p w14:paraId="0D73C5C4">
      <w:pPr>
        <w:adjustRightInd w:val="0"/>
        <w:snapToGrid w:val="0"/>
        <w:spacing w:line="576" w:lineRule="exact"/>
        <w:ind w:firstLine="640" w:firstLineChars="200"/>
        <w:rPr>
          <w:rFonts w:hint="default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default" w:eastAsia="仿宋_GB2312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 xml:space="preserve"> 以新型工业化推动眉山转型发展</w:t>
      </w:r>
      <w:r>
        <w:rPr>
          <w:rFonts w:hint="default" w:eastAsia="仿宋_GB2312"/>
          <w:sz w:val="32"/>
          <w:szCs w:val="32"/>
        </w:rPr>
        <w:t>研究</w:t>
      </w:r>
    </w:p>
    <w:p w14:paraId="7B13569A">
      <w:pPr>
        <w:adjustRightInd w:val="0"/>
        <w:snapToGrid w:val="0"/>
        <w:spacing w:line="576" w:lineRule="exact"/>
        <w:ind w:firstLine="640" w:firstLineChars="200"/>
        <w:rPr>
          <w:rFonts w:hint="default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hint="default" w:eastAsia="仿宋_GB2312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 xml:space="preserve"> 加快新型城镇化壮大县域经济研究</w:t>
      </w:r>
    </w:p>
    <w:p w14:paraId="0C2476BF">
      <w:pPr>
        <w:adjustRightInd w:val="0"/>
        <w:snapToGrid w:val="0"/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hint="default" w:eastAsia="仿宋_GB2312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 xml:space="preserve"> 承接国家重大生产力布局和东部地区重点产业转移工作机制研究</w:t>
      </w:r>
    </w:p>
    <w:p w14:paraId="5C32C2BE">
      <w:pPr>
        <w:adjustRightInd w:val="0"/>
        <w:snapToGrid w:val="0"/>
        <w:spacing w:line="576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hint="default" w:eastAsia="仿宋_GB2312"/>
          <w:sz w:val="32"/>
          <w:szCs w:val="32"/>
        </w:rPr>
        <w:t xml:space="preserve">. </w:t>
      </w:r>
      <w:r>
        <w:rPr>
          <w:rFonts w:eastAsia="仿宋_GB2312"/>
          <w:bCs/>
          <w:sz w:val="32"/>
          <w:szCs w:val="32"/>
        </w:rPr>
        <w:t>打造西部中试转化基地研究</w:t>
      </w:r>
    </w:p>
    <w:p w14:paraId="0427E55E">
      <w:pPr>
        <w:adjustRightInd w:val="0"/>
        <w:snapToGrid w:val="0"/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7. 深化拓展成眉同城研究</w:t>
      </w:r>
    </w:p>
    <w:p w14:paraId="4AA5B245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8. </w:t>
      </w:r>
      <w:r>
        <w:rPr>
          <w:rFonts w:hint="eastAsia" w:ascii="Times New Roman" w:hAnsi="Times New Roman" w:eastAsia="仿宋_GB2312"/>
          <w:bCs/>
          <w:sz w:val="32"/>
          <w:szCs w:val="32"/>
        </w:rPr>
        <w:t>推进国家战略腹地建设和关键产业备份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3F8134C5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9. </w:t>
      </w:r>
      <w:r>
        <w:rPr>
          <w:rFonts w:hint="eastAsia" w:ascii="Times New Roman" w:hAnsi="Times New Roman" w:eastAsia="仿宋_GB2312"/>
          <w:bCs/>
          <w:sz w:val="32"/>
          <w:szCs w:val="32"/>
        </w:rPr>
        <w:t>做强做优做大国有企业和国有资本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28412F23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10. </w:t>
      </w:r>
      <w:r>
        <w:rPr>
          <w:rFonts w:hint="eastAsia" w:ascii="Times New Roman" w:hAnsi="Times New Roman" w:eastAsia="仿宋_GB2312"/>
          <w:sz w:val="32"/>
          <w:szCs w:val="32"/>
        </w:rPr>
        <w:t>激发民间投资活力，</w:t>
      </w:r>
      <w:r>
        <w:rPr>
          <w:rFonts w:hint="eastAsia" w:ascii="Times New Roman" w:hAnsi="Times New Roman" w:eastAsia="仿宋_GB2312"/>
          <w:bCs/>
          <w:sz w:val="32"/>
          <w:szCs w:val="32"/>
        </w:rPr>
        <w:t>发展壮大民营经济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07CA9E86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11. </w:t>
      </w:r>
      <w:r>
        <w:rPr>
          <w:rFonts w:hint="eastAsia" w:ascii="Times New Roman" w:hAnsi="Times New Roman" w:eastAsia="仿宋_GB2312"/>
          <w:bCs/>
          <w:sz w:val="32"/>
          <w:szCs w:val="32"/>
        </w:rPr>
        <w:t>促进</w:t>
      </w:r>
      <w:r>
        <w:rPr>
          <w:rFonts w:ascii="Times New Roman" w:hAnsi="Times New Roman" w:eastAsia="仿宋_GB2312"/>
          <w:bCs/>
          <w:sz w:val="32"/>
          <w:szCs w:val="32"/>
        </w:rPr>
        <w:t>生产性</w:t>
      </w:r>
      <w:r>
        <w:rPr>
          <w:rFonts w:hint="eastAsia" w:ascii="Times New Roman" w:hAnsi="Times New Roman" w:eastAsia="仿宋_GB2312"/>
          <w:bCs/>
          <w:sz w:val="32"/>
          <w:szCs w:val="32"/>
        </w:rPr>
        <w:t>服务业</w:t>
      </w:r>
      <w:r>
        <w:rPr>
          <w:rFonts w:ascii="Times New Roman" w:hAnsi="Times New Roman" w:eastAsia="仿宋_GB2312"/>
          <w:bCs/>
          <w:sz w:val="32"/>
          <w:szCs w:val="32"/>
        </w:rPr>
        <w:t>高质量</w:t>
      </w:r>
      <w:r>
        <w:rPr>
          <w:rFonts w:hint="eastAsia" w:ascii="Times New Roman" w:hAnsi="Times New Roman" w:eastAsia="仿宋_GB2312"/>
          <w:bCs/>
          <w:sz w:val="32"/>
          <w:szCs w:val="32"/>
        </w:rPr>
        <w:t>发展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5C896C8F">
      <w:pPr>
        <w:adjustRightInd w:val="0"/>
        <w:snapToGrid w:val="0"/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12. 深化眉山营商环境研究</w:t>
      </w:r>
    </w:p>
    <w:p w14:paraId="523152ED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13. </w:t>
      </w:r>
      <w:r>
        <w:rPr>
          <w:rFonts w:hint="eastAsia" w:ascii="Times New Roman" w:hAnsi="Times New Roman" w:eastAsia="仿宋_GB2312"/>
          <w:bCs/>
          <w:sz w:val="32"/>
          <w:szCs w:val="32"/>
        </w:rPr>
        <w:t>盘活用好低效用地、闲置房产、存量基础设施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01F8A255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14. </w:t>
      </w:r>
      <w:r>
        <w:rPr>
          <w:rFonts w:hint="eastAsia" w:ascii="Times New Roman" w:hAnsi="Times New Roman" w:eastAsia="仿宋_GB2312"/>
          <w:bCs/>
          <w:sz w:val="32"/>
          <w:szCs w:val="32"/>
        </w:rPr>
        <w:t>稳步推进二轮土地承包到期后再延长三十年试点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7E393035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15. </w:t>
      </w:r>
      <w:r>
        <w:rPr>
          <w:rFonts w:hint="eastAsia" w:ascii="Times New Roman" w:hAnsi="Times New Roman" w:eastAsia="仿宋_GB2312"/>
          <w:bCs/>
          <w:sz w:val="32"/>
          <w:szCs w:val="32"/>
        </w:rPr>
        <w:t>推动农村一二三产业深度融合，培育壮大乡村特色产业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13BC65C5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16. </w:t>
      </w:r>
      <w:r>
        <w:rPr>
          <w:rFonts w:hint="eastAsia" w:ascii="Times New Roman" w:hAnsi="Times New Roman" w:eastAsia="仿宋_GB2312"/>
          <w:sz w:val="32"/>
          <w:szCs w:val="32"/>
        </w:rPr>
        <w:t>支持发展新型农村集体经济</w:t>
      </w:r>
      <w:r>
        <w:rPr>
          <w:rFonts w:ascii="Times New Roman" w:hAnsi="Times New Roman" w:eastAsia="仿宋_GB2312"/>
          <w:sz w:val="32"/>
          <w:szCs w:val="32"/>
        </w:rPr>
        <w:t>研究</w:t>
      </w:r>
    </w:p>
    <w:p w14:paraId="0E5D93FA">
      <w:pPr>
        <w:adjustRightInd w:val="0"/>
        <w:snapToGrid w:val="0"/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17. 推进乡村全面振兴研究</w:t>
      </w:r>
    </w:p>
    <w:p w14:paraId="3C1640F5">
      <w:pPr>
        <w:adjustRightInd w:val="0"/>
        <w:snapToGrid w:val="0"/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18. 在新时代打造更高水平</w:t>
      </w:r>
      <w:r>
        <w:rPr>
          <w:rFonts w:hint="default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天府粮仓</w:t>
      </w:r>
      <w:r>
        <w:rPr>
          <w:rFonts w:hint="default"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示范区研究</w:t>
      </w:r>
    </w:p>
    <w:p w14:paraId="055C71AF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19. </w:t>
      </w:r>
      <w:r>
        <w:rPr>
          <w:rFonts w:hint="eastAsia" w:ascii="Times New Roman" w:hAnsi="Times New Roman" w:eastAsia="仿宋_GB2312"/>
          <w:bCs/>
          <w:sz w:val="32"/>
          <w:szCs w:val="32"/>
        </w:rPr>
        <w:t>推进文旅深度融合，大力发展文化旅游</w:t>
      </w:r>
      <w:r>
        <w:rPr>
          <w:rFonts w:ascii="Times New Roman" w:hAnsi="Times New Roman" w:eastAsia="仿宋_GB2312"/>
          <w:bCs/>
          <w:sz w:val="32"/>
          <w:szCs w:val="32"/>
        </w:rPr>
        <w:t>产</w:t>
      </w:r>
      <w:r>
        <w:rPr>
          <w:rFonts w:hint="eastAsia" w:ascii="Times New Roman" w:hAnsi="Times New Roman" w:eastAsia="仿宋_GB2312"/>
          <w:bCs/>
          <w:sz w:val="32"/>
          <w:szCs w:val="32"/>
        </w:rPr>
        <w:t>业</w:t>
      </w:r>
      <w:r>
        <w:rPr>
          <w:rFonts w:ascii="Times New Roman" w:hAnsi="Times New Roman" w:eastAsia="仿宋_GB2312"/>
          <w:bCs/>
          <w:sz w:val="32"/>
          <w:szCs w:val="32"/>
        </w:rPr>
        <w:t xml:space="preserve">研究 </w:t>
      </w:r>
    </w:p>
    <w:p w14:paraId="3D98D45F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</w:t>
      </w:r>
      <w:r>
        <w:rPr>
          <w:rFonts w:hint="default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打造与</w:t>
      </w:r>
      <w:r>
        <w:rPr>
          <w:rFonts w:hint="default" w:ascii="Times New Roman" w:hAnsi="Times New Roman" w:eastAsia="仿宋_GB2312"/>
          <w:sz w:val="32"/>
          <w:szCs w:val="32"/>
        </w:rPr>
        <w:t>“</w:t>
      </w:r>
      <w:r>
        <w:rPr>
          <w:rFonts w:ascii="Times New Roman" w:hAnsi="Times New Roman" w:eastAsia="仿宋_GB2312"/>
          <w:sz w:val="32"/>
          <w:szCs w:val="32"/>
        </w:rPr>
        <w:t>千载诗书城</w:t>
      </w:r>
      <w:r>
        <w:rPr>
          <w:rFonts w:hint="default" w:ascii="Times New Roman" w:hAnsi="Times New Roman" w:eastAsia="仿宋_GB2312"/>
          <w:sz w:val="32"/>
          <w:szCs w:val="32"/>
        </w:rPr>
        <w:t>”</w:t>
      </w:r>
      <w:r>
        <w:rPr>
          <w:rFonts w:ascii="Times New Roman" w:hAnsi="Times New Roman" w:eastAsia="仿宋_GB2312"/>
          <w:sz w:val="32"/>
          <w:szCs w:val="32"/>
        </w:rPr>
        <w:t>相匹配公共服务体系研究</w:t>
      </w:r>
    </w:p>
    <w:p w14:paraId="123C150D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21</w:t>
      </w:r>
      <w:r>
        <w:rPr>
          <w:rFonts w:hint="default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进一步提升对外开放水平研究</w:t>
      </w:r>
    </w:p>
    <w:p w14:paraId="0D6A2CA5">
      <w:pPr>
        <w:adjustRightInd w:val="0"/>
        <w:snapToGrid w:val="0"/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22. 传承弘扬三苏文化东坡文化研究</w:t>
      </w:r>
    </w:p>
    <w:p w14:paraId="5DC28682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23. </w:t>
      </w:r>
      <w:r>
        <w:rPr>
          <w:rFonts w:hint="eastAsia" w:ascii="Times New Roman" w:hAnsi="Times New Roman" w:eastAsia="仿宋_GB2312"/>
          <w:bCs/>
          <w:sz w:val="32"/>
          <w:szCs w:val="32"/>
        </w:rPr>
        <w:t>深入实施中华优秀传统文化传承发展工程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5402EF86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24. </w:t>
      </w:r>
      <w:r>
        <w:rPr>
          <w:rFonts w:hint="eastAsia" w:ascii="Times New Roman" w:hAnsi="Times New Roman" w:eastAsia="仿宋_GB2312"/>
          <w:bCs/>
          <w:sz w:val="32"/>
          <w:szCs w:val="32"/>
        </w:rPr>
        <w:t>积极开发老年人力资源，发展银发经济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51DF88DC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25. </w:t>
      </w:r>
      <w:r>
        <w:rPr>
          <w:rFonts w:hint="eastAsia" w:ascii="Times New Roman" w:hAnsi="Times New Roman" w:eastAsia="仿宋_GB2312"/>
          <w:bCs/>
          <w:sz w:val="32"/>
          <w:szCs w:val="32"/>
        </w:rPr>
        <w:t>筑牢生态安全屏障，增强绿色发展动能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121DE14E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26. </w:t>
      </w:r>
      <w:r>
        <w:rPr>
          <w:rFonts w:hint="eastAsia" w:ascii="Times New Roman" w:hAnsi="Times New Roman" w:eastAsia="仿宋_GB2312"/>
          <w:bCs/>
          <w:sz w:val="32"/>
          <w:szCs w:val="32"/>
        </w:rPr>
        <w:t>创新实施马克思主义理论研究和建设工程，加快构建中国哲学社会科学自主知识体系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1ACDF4AE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>27</w:t>
      </w:r>
      <w:r>
        <w:rPr>
          <w:rFonts w:hint="eastAsia" w:ascii="Times New Roman" w:hAnsi="Times New Roman" w:eastAsia="仿宋_GB2312"/>
          <w:bCs/>
          <w:sz w:val="32"/>
          <w:szCs w:val="32"/>
        </w:rPr>
        <w:t>.</w:t>
      </w:r>
      <w:r>
        <w:rPr>
          <w:rFonts w:ascii="Times New Roman" w:hAnsi="Times New Roman" w:eastAsia="仿宋_GB2312"/>
          <w:bCs/>
          <w:sz w:val="32"/>
          <w:szCs w:val="32"/>
        </w:rPr>
        <w:t xml:space="preserve"> 铸牢中华民族共同体意识，推进中华民族共同体建设研究</w:t>
      </w:r>
    </w:p>
    <w:p w14:paraId="6E7F1D76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28. </w:t>
      </w:r>
      <w:r>
        <w:rPr>
          <w:rFonts w:hint="eastAsia" w:ascii="Times New Roman" w:hAnsi="Times New Roman" w:eastAsia="仿宋_GB2312"/>
          <w:bCs/>
          <w:sz w:val="32"/>
          <w:szCs w:val="32"/>
        </w:rPr>
        <w:t>加强和改进思想政治工作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52A696CC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29. </w:t>
      </w:r>
      <w:r>
        <w:rPr>
          <w:rFonts w:hint="eastAsia" w:ascii="Times New Roman" w:hAnsi="Times New Roman" w:eastAsia="仿宋_GB2312"/>
          <w:bCs/>
          <w:sz w:val="32"/>
          <w:szCs w:val="32"/>
        </w:rPr>
        <w:t>加强新经济组织、新社会组织、新就业群体党的建设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25161978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30. </w:t>
      </w:r>
      <w:r>
        <w:rPr>
          <w:rFonts w:hint="eastAsia" w:ascii="Times New Roman" w:hAnsi="Times New Roman" w:eastAsia="仿宋_GB2312"/>
          <w:bCs/>
          <w:sz w:val="32"/>
          <w:szCs w:val="32"/>
        </w:rPr>
        <w:t>加强家庭家教家风建设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14DA732F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31. </w:t>
      </w:r>
      <w:r>
        <w:rPr>
          <w:rFonts w:hint="eastAsia" w:ascii="Times New Roman" w:hAnsi="Times New Roman" w:eastAsia="仿宋_GB2312"/>
          <w:sz w:val="32"/>
          <w:szCs w:val="32"/>
        </w:rPr>
        <w:t>坚持</w:t>
      </w:r>
      <w:r>
        <w:rPr>
          <w:rFonts w:hint="eastAsia" w:ascii="Times New Roman" w:hAnsi="Times New Roman" w:eastAsia="仿宋_GB2312"/>
          <w:bCs/>
          <w:sz w:val="32"/>
          <w:szCs w:val="32"/>
        </w:rPr>
        <w:t>以党的自我革命引领社会革命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2ED5C203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32. </w:t>
      </w:r>
      <w:r>
        <w:rPr>
          <w:rFonts w:hint="eastAsia" w:ascii="Times New Roman" w:hAnsi="Times New Roman" w:eastAsia="仿宋_GB2312"/>
          <w:bCs/>
          <w:sz w:val="32"/>
          <w:szCs w:val="32"/>
        </w:rPr>
        <w:t>严管厚爱结合、激励约束并重，激发干部队伍内生动力和整体活力</w:t>
      </w:r>
      <w:r>
        <w:rPr>
          <w:rFonts w:ascii="Times New Roman" w:hAnsi="Times New Roman" w:eastAsia="仿宋_GB2312"/>
          <w:sz w:val="32"/>
          <w:szCs w:val="32"/>
        </w:rPr>
        <w:t>研究</w:t>
      </w:r>
    </w:p>
    <w:p w14:paraId="108A461B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33. </w:t>
      </w:r>
      <w:r>
        <w:rPr>
          <w:rFonts w:hint="eastAsia" w:ascii="Times New Roman" w:hAnsi="Times New Roman" w:eastAsia="仿宋_GB2312"/>
          <w:bCs/>
          <w:sz w:val="32"/>
          <w:szCs w:val="32"/>
        </w:rPr>
        <w:t>锲而不舍落实中央八项规定精神</w:t>
      </w:r>
      <w:r>
        <w:rPr>
          <w:rFonts w:hint="eastAsia" w:ascii="Times New Roman" w:hAnsi="Times New Roman" w:eastAsia="仿宋_GB2312"/>
          <w:sz w:val="32"/>
          <w:szCs w:val="32"/>
        </w:rPr>
        <w:t>，推进作风建设常态化长效化</w:t>
      </w:r>
      <w:r>
        <w:rPr>
          <w:rFonts w:ascii="Times New Roman" w:hAnsi="Times New Roman" w:eastAsia="仿宋_GB2312"/>
          <w:sz w:val="32"/>
          <w:szCs w:val="32"/>
        </w:rPr>
        <w:t>研究</w:t>
      </w:r>
    </w:p>
    <w:p w14:paraId="7C102D47">
      <w:pPr>
        <w:pStyle w:val="2"/>
        <w:keepNext w:val="0"/>
        <w:keepLines w:val="0"/>
        <w:pageBreakBefore w:val="0"/>
        <w:widowControl w:val="0"/>
        <w:spacing w:line="576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 xml:space="preserve">34. </w:t>
      </w:r>
      <w:r>
        <w:rPr>
          <w:rFonts w:hint="eastAsia" w:ascii="Times New Roman" w:hAnsi="Times New Roman" w:eastAsia="仿宋_GB2312"/>
          <w:bCs/>
          <w:sz w:val="32"/>
          <w:szCs w:val="32"/>
        </w:rPr>
        <w:t>更好发挥工会、共青团、妇联等群团组织作用</w:t>
      </w:r>
      <w:r>
        <w:rPr>
          <w:rFonts w:ascii="Times New Roman" w:hAnsi="Times New Roman" w:eastAsia="仿宋_GB2312"/>
          <w:bCs/>
          <w:sz w:val="32"/>
          <w:szCs w:val="32"/>
        </w:rPr>
        <w:t>研究</w:t>
      </w:r>
    </w:p>
    <w:p w14:paraId="61D1269D">
      <w:pPr>
        <w:adjustRightInd w:val="0"/>
        <w:snapToGrid w:val="0"/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35. 全面落实意识形态工作责任制，推动理想信念教育常态化制度化研究</w:t>
      </w:r>
    </w:p>
    <w:p w14:paraId="519435EB">
      <w:pPr>
        <w:adjustRightInd w:val="0"/>
        <w:snapToGrid w:val="0"/>
        <w:spacing w:line="576" w:lineRule="exact"/>
        <w:ind w:firstLine="640" w:firstLineChars="200"/>
        <w:rPr>
          <w:rFonts w:hint="default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可围绕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-SA"/>
        </w:rPr>
        <w:t>《中共中央关于制定国民经济和社会发展第十五个五年规划的建议》</w:t>
      </w:r>
      <w:r>
        <w:rPr>
          <w:rFonts w:ascii="Times New Roman" w:hAnsi="Times New Roman" w:eastAsia="仿宋_GB2312" w:cs="Times New Roman"/>
          <w:color w:val="000000"/>
          <w:sz w:val="32"/>
          <w:szCs w:val="32"/>
          <w:lang w:bidi="ar-SA"/>
        </w:rPr>
        <w:t>内容，紧密结合眉山实际，自定命题。</w:t>
      </w:r>
    </w:p>
    <w:p w14:paraId="1593DC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283" w:usb1="080F0C00" w:usb2="00000010" w:usb3="00000000" w:csb0="0002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283" w:usb1="080F0C00" w:usb2="00000010" w:usb3="00000000" w:csb0="0002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0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basedOn w:val="1"/>
    <w:next w:val="1"/>
    <w:qFormat/>
    <w:uiPriority w:val="0"/>
    <w:rPr>
      <w:rFonts w:ascii="仿宋_GB2312" w:hAnsi="仿宋_GB231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2025-11-14T06:24:43Z</dcterms:created>
  <dc:creator>Administrator</dc:creator>
  <cp:lastModifiedBy>洪雨培</cp:lastModifiedBy>
  <dcterms:modified xsi:type="dcterms:W3CDTF">2025-11-14T06:25:41Z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eyJoZGlkIjoiZGM2NGM4ZGQ0ZTY1MDMyMzkwZmRmOTc5ODJjMTMyNWYiLCJ1c2VySWQiOiIzMTE2MjA0NDEifQ==</vt:lpwstr>
  </property>
  <property fmtid="{D5CDD505-2E9C-101B-9397-08002B2CF9AE}" pid="4" name="ICV">
    <vt:lpwstr>8EC8777D65EF4EB78CC69FE5A22C43FD_13</vt:lpwstr>
  </property>
</Properties>
</file>